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spacing w:before="120" w:beforeAutospacing="0" w:after="120" w:afterAutospacing="0" w:line="360" w:lineRule="auto"/>
        <w:rPr>
          <w:rFonts w:hint="eastAsia" w:ascii="宋体" w:hAnsi="宋体" w:eastAsia="宋体" w:cs="宋体"/>
          <w:color w:val="auto"/>
          <w:highlight w:val="none"/>
        </w:rPr>
      </w:pPr>
      <w:r>
        <w:rPr>
          <w:color w:val="auto"/>
          <w:highlight w:val="none"/>
        </w:rPr>
        <w:t xml:space="preserve"> </w:t>
      </w:r>
      <w:r/>
    </w:p>
    <w:p>
      <w:pPr>
        <w:jc w:val="center"/>
        <w:spacing w:before="156" w:after="156" w:line="1320" w:lineRule="exact"/>
        <w:rPr>
          <w:rFonts w:hint="eastAsia" w:ascii="宋体" w:hAnsi="宋体" w:eastAsia="宋体" w:cs="宋体"/>
          <w:b/>
          <w:color w:val="auto"/>
          <w:sz w:val="96"/>
          <w:szCs w:val="96"/>
          <w:highlight w:val="none"/>
          <w:lang w:eastAsia="zh-CN"/>
        </w:rPr>
        <w:outlineLvl w:val="0"/>
      </w:pPr>
      <w:r>
        <w:rPr>
          <w:rFonts w:hint="eastAsia" w:ascii="宋体" w:hAnsi="宋体" w:eastAsia="宋体" w:cs="宋体"/>
          <w:b/>
          <w:bCs w:val="0"/>
          <w:color w:val="auto"/>
          <w:sz w:val="52"/>
          <w:szCs w:val="72"/>
          <w:highlight w:val="none"/>
          <w:lang w:eastAsia="zh-CN"/>
        </w:rPr>
        <w:t xml:space="preserve">2026年东台市不动产登记继承、委托公证法律服务项目（第二次）</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编号：JSZC-320981-XHZB-G2026-0011</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871"/>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东台市不动产登记中心</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spacing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rPr>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采购代理机构：</w:t>
      </w:r>
      <w:r>
        <w:rPr>
          <w:rFonts w:hint="eastAsia" w:ascii="宋体" w:hAnsi="宋体" w:eastAsia="宋体" w:cs="宋体"/>
          <w:b/>
          <w:color w:val="auto"/>
          <w:sz w:val="31"/>
          <w:highlight w:val="none"/>
          <w:u w:val="single"/>
        </w:rPr>
        <w:t xml:space="preserve">  东台市兴华招标代理有限公司   </w:t>
      </w:r>
      <w:r>
        <w:rPr>
          <w:rFonts w:hint="eastAsia" w:ascii="宋体" w:hAnsi="宋体" w:eastAsia="宋体" w:cs="宋体"/>
          <w:b/>
          <w:color w:val="auto"/>
          <w:sz w:val="31"/>
          <w:highlight w:val="none"/>
        </w:rPr>
        <w:t xml:space="preserve">（盖章）</w:t>
      </w:r>
      <w:r/>
    </w:p>
    <w:p>
      <w:pP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872"/>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5"/>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w:t>
      </w:r>
      <w:r>
        <w:rPr>
          <w:rFonts w:hint="eastAsia" w:ascii="宋体" w:hAnsi="宋体" w:eastAsia="宋体" w:cs="宋体"/>
          <w:b/>
          <w:color w:val="auto"/>
          <w:sz w:val="31"/>
          <w:highlight w:val="none"/>
          <w:u w:val="single"/>
          <w:lang w:val="en-US" w:eastAsia="zh-CN"/>
        </w:rPr>
        <w:t xml:space="preserve">6</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5</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11</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865"/>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65"/>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23127445"/>
      <w:r/>
      <w:bookmarkStart w:id="1" w:name="_Toc513029200"/>
      <w:r/>
      <w:bookmarkStart w:id="2" w:name="_Toc479757206"/>
      <w:r/>
      <w:bookmarkStart w:id="3" w:name="_Toc20823272"/>
      <w:r/>
      <w:bookmarkStart w:id="4" w:name="_Toc16938516"/>
      <w:r/>
      <w:bookmarkStart w:id="5" w:name="_Toc12061421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5"/>
        <w:jc w:val="both"/>
        <w:spacing w:beforeAutospacing="0" w:afterAutospacing="0" w:line="480" w:lineRule="auto"/>
        <w:rPr>
          <w:color w:val="auto"/>
          <w:highlight w:val="none"/>
        </w:rPr>
      </w:pPr>
      <w:r>
        <w:rPr>
          <w:color w:val="auto"/>
          <w:highlight w:val="none"/>
        </w:rPr>
        <w:t xml:space="preserve"> </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8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2026年东台市不动产登记继承、委托公证法律服务项目（第二次）</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6" w:name="_Toc35393621"/>
      <w:r/>
      <w:bookmarkStart w:id="7" w:name="_Toc35393790"/>
      <w:r/>
      <w:bookmarkStart w:id="8" w:name="_Hlk24379207"/>
      <w:r/>
      <w:bookmarkStart w:id="9" w:name="_Toc28359002"/>
      <w:r/>
      <w:bookmarkStart w:id="10" w:name="_Toc28359079"/>
      <w:r/>
      <w:bookmarkStart w:id="11" w:name="_Toc38985263"/>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1.项目编号：JSZC-320981-XHZB-G2026-000</w:t>
      </w:r>
      <w:r>
        <w:rPr>
          <w:rFonts w:hint="eastAsia" w:ascii="宋体" w:hAnsi="宋体" w:eastAsia="宋体" w:cs="宋体"/>
          <w:color w:val="auto"/>
          <w:sz w:val="24"/>
          <w:szCs w:val="24"/>
          <w:highlight w:val="none"/>
          <w:lang w:val="en-US" w:eastAsia="zh-CN"/>
        </w:rPr>
        <w:t xml:space="preserve">11</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2026年东台市不动产登记继承、委托公证法律服务项目（第二次）</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5"/>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100万元</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继承正常业务每件最高限价为2000元，有转继承、代位继承情形的每件最高限价为3000元（被继承人有多处用途为住宅的不动产申请继承公证的，超过一件的按500元每件计算）；农村宅基地房屋正常继承公证服务费用每件不超过1000元；有转继承、代位继承情形的每件最高限价为2000元；委托业务（仅限抵押登记委托书和委托期限为60天内的二手房转移登记委托书）每件最高限价为200元。</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.采购需求：不动产登记机构为继承人提供政府购买继承公证法律服务，为不动产登记委托人提供政府购买委托公证法律服务。（详细内容见本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文件第四章）</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.合同履行期限：合同签订之日起至</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 w:name="_Toc28359080"/>
      <w:r/>
      <w:bookmarkStart w:id="13" w:name="_Toc35393791"/>
      <w:r/>
      <w:bookmarkStart w:id="14" w:name="_Toc35393622"/>
      <w:r/>
      <w:bookmarkStart w:id="15" w:name="_Toc38985264"/>
      <w:r/>
      <w:bookmarkStart w:id="16" w:name="_Toc28359003"/>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w:t>
      </w:r>
      <w:r>
        <w:rPr>
          <w:rFonts w:hint="eastAsia" w:ascii="宋体" w:hAnsi="宋体" w:eastAsia="宋体" w:cs="宋体"/>
          <w:color w:val="auto"/>
          <w:sz w:val="24"/>
          <w:szCs w:val="24"/>
          <w:highlight w:val="none"/>
          <w:lang w:val="en-US" w:eastAsia="zh-CN"/>
        </w:rPr>
        <w:t xml:space="preserve">或上上年度</w:t>
      </w:r>
      <w:r>
        <w:rPr>
          <w:rFonts w:hint="eastAsia" w:ascii="宋体" w:hAnsi="宋体" w:eastAsia="宋体" w:cs="宋体"/>
          <w:color w:val="auto"/>
          <w:sz w:val="24"/>
          <w:szCs w:val="24"/>
          <w:highlight w:val="none"/>
        </w:rPr>
        <w:t xml:space="preserve">的财务状况报表（成立不满一年无需提供）；</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截止时间前一年内至少一个月依法缴纳税收及缴纳社会保障资金的证明材料。供应商依法享受缓缴、免缴税收、社会保障资金的证明材料）；</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6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p>
    <w:p>
      <w:pPr>
        <w:pStyle w:val="865"/>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65"/>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bidi="ar-SA"/>
        </w:rPr>
        <w:t xml:space="preserve">供应商如委托被授权人参与，则被授权人须为本单位正式职工并提供供应商为被授权人缴纳的社会养老保险证明；</w:t>
      </w:r>
      <w:r/>
    </w:p>
    <w:p>
      <w:pPr>
        <w:pStyle w:val="865"/>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3.2 供应商须具备公证机构执业许可证书。</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bookmarkStart w:id="17" w:name="_Toc28359082"/>
      <w:r/>
      <w:bookmarkStart w:id="18" w:name="_Toc35393624"/>
      <w:r/>
      <w:bookmarkStart w:id="19" w:name="_Toc35393793"/>
      <w:r/>
      <w:bookmarkStart w:id="20" w:name="_Toc28359005"/>
      <w:r/>
      <w:bookmarkStart w:id="21" w:name="_Toc38985266"/>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bookmarkStart w:id="196" w:name="_GoBack"/>
      <w:r/>
      <w:bookmarkEnd w:id="196"/>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2.地点：“苏采云”政府采购交易系统网上开标大厅。</w:t>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22" w:name="_Toc28359007"/>
      <w:r/>
      <w:bookmarkStart w:id="23" w:name="_Toc35393794"/>
      <w:r/>
      <w:bookmarkStart w:id="24" w:name="_Toc35393625"/>
      <w:r/>
      <w:bookmarkStart w:id="25" w:name="_Toc38985267"/>
      <w:r/>
      <w:bookmarkStart w:id="26" w:name="_Toc2835908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795"/>
      <w:r/>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65"/>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55"/>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称：东台市不动产登记中心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址：东台市北海西路8号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联系方式：何女士 0515-68000698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称：东台市兴华招标代理有限公司</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址：东台市东达翰林缘小区商铺12-104号</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联系方式：刘先生 13921850520                   </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项目联系人：何女士、刘先生</w:t>
      </w:r>
      <w:r/>
    </w:p>
    <w:p>
      <w:pPr>
        <w:pStyle w:val="86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话：0515-68000698、13921850520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r/>
    </w:p>
    <w:p>
      <w:pPr>
        <w:pStyle w:val="865"/>
        <w:ind w:firstLine="2429"/>
        <w:jc w:val="both"/>
        <w:keepLines/>
        <w:keepNext/>
        <w:spacing w:before="260" w:beforeAutospacing="0" w:after="260" w:afterAutospacing="0" w:line="415" w:lineRule="auto"/>
        <w:rPr>
          <w:color w:val="auto"/>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513029202"/>
      <w:r/>
      <w:bookmarkStart w:id="34" w:name="_Toc120614213"/>
      <w:r/>
      <w:bookmarkStart w:id="35" w:name="_Toc16938518"/>
      <w:r/>
      <w:bookmarkStart w:id="36" w:name="_Toc20823274"/>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7" w:name="_Toc16938519"/>
      <w:r/>
      <w:bookmarkStart w:id="38" w:name="_Toc513029203"/>
      <w:r/>
      <w:bookmarkStart w:id="39" w:name="_Toc120614214"/>
      <w:r/>
      <w:bookmarkStart w:id="40" w:name="_Toc20823275"/>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1" w:name="_Toc16938520"/>
      <w:r/>
      <w:bookmarkStart w:id="42" w:name="_Toc20823276"/>
      <w:r/>
      <w:bookmarkStart w:id="43" w:name="_Toc458694821"/>
      <w:r/>
      <w:bookmarkStart w:id="44" w:name="_Toc513029204"/>
      <w:r/>
      <w:bookmarkStart w:id="45" w:name="_Hlt16619475"/>
      <w:r>
        <w:rPr>
          <w:rFonts w:hint="eastAsia" w:ascii="宋体" w:hAnsi="宋体" w:eastAsia="宋体"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6" w:name="_Toc513029205"/>
      <w:r/>
      <w:bookmarkStart w:id="47" w:name="_Toc20823277"/>
      <w:r/>
      <w:bookmarkStart w:id="48" w:name="_Toc16938521"/>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6"/>
      <w:r/>
      <w:bookmarkEnd w:id="47"/>
      <w:r/>
      <w:bookmarkEnd w:id="48"/>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9" w:name="_Toc16938522"/>
      <w:r/>
      <w:bookmarkStart w:id="50" w:name="_Toc20823278"/>
      <w:r/>
      <w:bookmarkStart w:id="51" w:name="_Toc513029206"/>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9"/>
      <w:r/>
      <w:bookmarkEnd w:id="50"/>
      <w:r/>
      <w:bookmarkEnd w:id="51"/>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2" w:name="_Toc16938523"/>
      <w:r/>
      <w:bookmarkStart w:id="53" w:name="_Toc513029207"/>
      <w:r/>
      <w:bookmarkStart w:id="54" w:name="_Toc462564067"/>
      <w:r/>
      <w:bookmarkStart w:id="55" w:name="_Toc20823279"/>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2"/>
      <w:r/>
      <w:bookmarkEnd w:id="53"/>
      <w:r/>
      <w:bookmarkEnd w:id="54"/>
      <w:r/>
      <w:bookmarkEnd w:id="55"/>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不收取标书工本费与中标服务费。</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6" w:name="_Toc120614215"/>
      <w:r/>
      <w:bookmarkStart w:id="57" w:name="_Toc20823281"/>
      <w:r/>
      <w:bookmarkStart w:id="58" w:name="_Toc513029209"/>
      <w:r/>
      <w:bookmarkStart w:id="59" w:name="_Toc16938525"/>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0" w:name="_Toc16938526"/>
      <w:r/>
      <w:bookmarkStart w:id="61" w:name="_Toc513029210"/>
      <w:r/>
      <w:bookmarkStart w:id="62" w:name="_Toc20823282"/>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0"/>
      <w:r/>
      <w:bookmarkEnd w:id="61"/>
      <w:r/>
      <w:bookmarkEnd w:id="62"/>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联系解决。</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3" w:name="_Toc20823283"/>
      <w:r/>
      <w:bookmarkStart w:id="64" w:name="_Toc462564070"/>
      <w:r/>
      <w:bookmarkStart w:id="65" w:name="_Toc513029211"/>
      <w:r/>
      <w:bookmarkStart w:id="66" w:name="_Toc16938527"/>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w:t>
      </w:r>
      <w:bookmarkEnd w:id="63"/>
      <w:r/>
      <w:bookmarkEnd w:id="64"/>
      <w:r/>
      <w:bookmarkEnd w:id="65"/>
      <w:r/>
      <w:bookmarkEnd w:id="66"/>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7" w:name="_Toc462564071"/>
      <w:r/>
      <w:bookmarkStart w:id="68" w:name="_Toc513029212"/>
      <w:r/>
      <w:bookmarkStart w:id="69" w:name="_Toc20823284"/>
      <w:r/>
      <w:bookmarkStart w:id="70" w:name="_Toc16938528"/>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招标文件的修改</w:t>
      </w:r>
      <w:bookmarkEnd w:id="67"/>
      <w:r/>
      <w:bookmarkEnd w:id="68"/>
      <w:r/>
      <w:bookmarkEnd w:id="69"/>
      <w:r/>
      <w:bookmarkEnd w:id="70"/>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1" w:name="_Toc462564072"/>
      <w:r/>
      <w:bookmarkStart w:id="72" w:name="_Toc120614216"/>
      <w:r/>
      <w:bookmarkStart w:id="73" w:name="_Toc16938529"/>
      <w:r/>
      <w:bookmarkStart w:id="74" w:name="_Toc20823285"/>
      <w:r/>
      <w:bookmarkStart w:id="75" w:name="_Toc513029213"/>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6" w:name="_Toc16938530"/>
      <w:r/>
      <w:bookmarkStart w:id="77" w:name="_Toc513029214"/>
      <w:r/>
      <w:bookmarkStart w:id="78" w:name="_Toc20823286"/>
      <w:r/>
      <w:bookmarkStart w:id="79" w:name="_Toc462564073"/>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6"/>
      <w:r/>
      <w:bookmarkEnd w:id="77"/>
      <w:r/>
      <w:bookmarkEnd w:id="78"/>
      <w:r/>
      <w:bookmarkEnd w:id="7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16938531"/>
      <w:r/>
      <w:bookmarkStart w:id="81" w:name="_Toc513029215"/>
      <w:r/>
      <w:bookmarkStart w:id="82" w:name="_Toc462564074"/>
      <w:r/>
      <w:bookmarkStart w:id="83" w:name="_Toc20823287"/>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0"/>
      <w:r/>
      <w:bookmarkEnd w:id="81"/>
      <w:r/>
      <w:bookmarkEnd w:id="82"/>
      <w:r/>
      <w:bookmarkEnd w:id="83"/>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14577354"/>
      <w:r/>
      <w:bookmarkStart w:id="85" w:name="_Toc14577357"/>
      <w:r/>
      <w:bookmarkStart w:id="86" w:name="_Toc513029219"/>
      <w:r/>
      <w:bookmarkStart w:id="87" w:name="_Toc513029216"/>
      <w:r/>
      <w:bookmarkStart w:id="88" w:name="_Toc49090507"/>
      <w:r/>
      <w:bookmarkStart w:id="89" w:name="_Toc49090509"/>
      <w:r/>
      <w:bookmarkStart w:id="90" w:name="_Hlt26668975"/>
      <w:r/>
      <w:bookmarkStart w:id="91" w:name="_Hlt26670360"/>
      <w:r/>
      <w:bookmarkStart w:id="92" w:name="_Hlt26954838"/>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84"/>
      <w:r/>
      <w:bookmarkEnd w:id="85"/>
      <w:r/>
      <w:bookmarkEnd w:id="86"/>
      <w:r/>
      <w:bookmarkEnd w:id="87"/>
      <w:r/>
      <w:bookmarkEnd w:id="88"/>
      <w:r/>
      <w:bookmarkEnd w:id="8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3" w:name="_Toc49090508"/>
      <w:r/>
      <w:bookmarkStart w:id="94" w:name="_Toc14577355"/>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w:t>
      </w:r>
      <w:r>
        <w:rPr>
          <w:rFonts w:hint="eastAsia" w:ascii="宋体" w:hAnsi="宋体" w:eastAsia="宋体" w:cs="宋体"/>
          <w:color w:val="auto"/>
          <w:sz w:val="24"/>
          <w:szCs w:val="24"/>
          <w:highlight w:val="none"/>
          <w:lang w:eastAsia="zh-CN"/>
        </w:rPr>
        <w:t xml:space="preserve">件的</w:t>
      </w:r>
      <w:r>
        <w:rPr>
          <w:rFonts w:hint="eastAsia" w:ascii="宋体" w:hAnsi="宋体" w:eastAsia="宋体" w:cs="宋体"/>
          <w:color w:val="auto"/>
          <w:sz w:val="24"/>
          <w:szCs w:val="24"/>
          <w:highlight w:val="none"/>
        </w:rPr>
        <w:t xml:space="preserve">规定。</w:t>
      </w:r>
      <w:bookmarkEnd w:id="93"/>
      <w:r/>
      <w:bookmarkEnd w:id="94"/>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w:t>
      </w:r>
      <w:bookmarkStart w:id="95" w:name="_Hlt26670373"/>
      <w:r>
        <w:rPr>
          <w:rFonts w:hint="eastAsia" w:ascii="宋体" w:hAnsi="宋体" w:eastAsia="宋体" w:cs="宋体"/>
          <w:color w:val="auto"/>
          <w:sz w:val="24"/>
          <w:szCs w:val="24"/>
          <w:highlight w:val="none"/>
        </w:rPr>
        <w:t xml:space="preserve">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8" w:name="_Hlt26954846"/>
      <w:r/>
      <w:bookmarkStart w:id="99" w:name="_Hlt26670486"/>
      <w:r/>
      <w:bookmarkStart w:id="100" w:name="_Hlt26670403"/>
      <w:r/>
      <w:bookmarkStart w:id="101" w:name="_Hlt26954844"/>
      <w:r/>
      <w:bookmarkStart w:id="102" w:name="_Hlt26668983"/>
      <w:r/>
      <w:bookmarkStart w:id="103" w:name="_Hlt26670425"/>
      <w:r/>
      <w:bookmarkStart w:id="104" w:name="_Hlt26954731"/>
      <w:r/>
      <w:bookmarkStart w:id="105" w:name="_Hlt26954848"/>
      <w:r/>
      <w:bookmarkStart w:id="106" w:name="_Hlt26954842"/>
      <w:r/>
      <w:bookmarkStart w:id="107" w:name="_Hlt26670482"/>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65"/>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8" w:name="_Toc14577359"/>
      <w:r/>
      <w:bookmarkStart w:id="109" w:name="_Toc49090510"/>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08"/>
      <w:r/>
      <w:bookmarkEnd w:id="10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0" w:name="_Toc49090511"/>
      <w:r/>
      <w:bookmarkStart w:id="111" w:name="_Toc14577360"/>
      <w:r/>
      <w:bookmarkStart w:id="112" w:name="_Hlt26954734"/>
      <w:r/>
      <w:bookmarkStart w:id="113" w:name="_Hlt26670489"/>
      <w:r/>
      <w:bookmarkStart w:id="114" w:name="_Hlt26954850"/>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0"/>
      <w:r/>
      <w:bookmarkEnd w:id="111"/>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5" w:name="_Toc513029224"/>
      <w:r/>
      <w:bookmarkStart w:id="116" w:name="_Toc120614217"/>
      <w:r/>
      <w:bookmarkStart w:id="117" w:name="_Toc16938540"/>
      <w:r/>
      <w:bookmarkStart w:id="118" w:name="_Toc20823296"/>
      <w:r/>
      <w:bookmarkStart w:id="119" w:name="_Hlt26954739"/>
      <w:r/>
      <w:bookmarkStart w:id="120" w:name="_Hlt26954852"/>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1" w:name="_Toc20823297"/>
      <w:r/>
      <w:bookmarkStart w:id="122" w:name="_Toc513029225"/>
      <w:r/>
      <w:bookmarkStart w:id="123" w:name="_Toc16938541"/>
      <w:r/>
      <w:bookmarkStart w:id="124" w:name="_Toc462564084"/>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网络环境、网络带宽等风险因素，如因投标人自身原因造成的电子投标文件上传不</w:t>
      </w:r>
      <w:r>
        <w:rPr>
          <w:rFonts w:hint="eastAsia" w:ascii="宋体" w:hAnsi="宋体" w:eastAsia="宋体" w:cs="宋体"/>
          <w:color w:val="auto"/>
          <w:sz w:val="24"/>
          <w:szCs w:val="24"/>
          <w:highlight w:val="none"/>
          <w:lang w:eastAsia="zh-CN"/>
        </w:rPr>
        <w:t xml:space="preserve">成功地按照</w:t>
      </w:r>
      <w:r>
        <w:rPr>
          <w:rFonts w:hint="eastAsia" w:ascii="宋体" w:hAnsi="宋体" w:eastAsia="宋体" w:cs="宋体"/>
          <w:color w:val="auto"/>
          <w:sz w:val="24"/>
          <w:szCs w:val="24"/>
          <w:highlight w:val="none"/>
        </w:rPr>
        <w:t xml:space="preserve">本招标文件第二章第26.1.2条 规定做无效投标处理。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8" w:name="_Toc16938543"/>
      <w:r/>
      <w:bookmarkStart w:id="129" w:name="_Toc20823299"/>
      <w:r/>
      <w:bookmarkStart w:id="130" w:name="_Toc513029227"/>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1" w:name="_Toc16938544"/>
      <w:r/>
      <w:bookmarkStart w:id="132" w:name="_Toc20823300"/>
      <w:r/>
      <w:bookmarkStart w:id="133" w:name="_Toc513029228"/>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4" w:name="_Toc16938545"/>
      <w:r/>
      <w:bookmarkStart w:id="135" w:name="_Toc120614218"/>
      <w:r/>
      <w:bookmarkStart w:id="136" w:name="_Toc513029229"/>
      <w:r/>
      <w:bookmarkStart w:id="137" w:name="_Toc20823301"/>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8" w:name="_Toc16938546"/>
      <w:r/>
      <w:bookmarkStart w:id="139" w:name="_Toc513029230"/>
      <w:r/>
      <w:bookmarkStart w:id="140" w:name="_Toc20823302"/>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38"/>
      <w:r/>
      <w:bookmarkEnd w:id="139"/>
      <w:r/>
      <w:bookmarkEnd w:id="140"/>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投标文件解密、开标结果确认等工作，应按照《操作手册》规定执行。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1" w:name="_Toc16938547"/>
      <w:r/>
      <w:bookmarkStart w:id="142" w:name="_Toc20823303"/>
      <w:r/>
      <w:bookmarkStart w:id="143" w:name="_Toc513029231"/>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20823304"/>
      <w:r/>
      <w:bookmarkStart w:id="145" w:name="_Toc513029232"/>
      <w:r/>
      <w:bookmarkStart w:id="146" w:name="_Toc16938548"/>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7" w:name="_Toc16938549"/>
      <w:r/>
      <w:bookmarkStart w:id="148" w:name="_Toc513029233"/>
      <w:r/>
      <w:bookmarkStart w:id="149" w:name="_Toc20823305"/>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0" w:name="_Toc16938550"/>
      <w:r/>
      <w:bookmarkStart w:id="151" w:name="_Toc20823306"/>
      <w:r/>
      <w:bookmarkStart w:id="152"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3" w:name="_Toc513029235"/>
      <w:r/>
      <w:bookmarkStart w:id="154" w:name="_Toc16938551"/>
      <w:r/>
      <w:bookmarkStart w:id="155" w:name="_Toc20823307"/>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投标人不能证明其报价合理性的，评标委员会应当将其作为无效投标处理。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投标报价低于全部通过符合性审查供应商投标报价平均值50%的，即投标报价&lt;全部通过符合性审查供应商投标报价平均值×50%；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投标报价低于通过符合性审查的次低报价供应商投标报价50%的，即投标报价&lt;通过符合性审查的次低报价供应商投标报价×50%；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投标报价低于采购项目最高限价45%的，即投标报价&lt;采购项目最高限价×45%；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实质响应的供应商不足三家的。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lang w:eastAsia="zh-CN"/>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rPr>
        <w:t xml:space="preserve">质疑处理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5"/>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1" w:name="_Toc16938552"/>
      <w:r/>
      <w:bookmarkStart w:id="162" w:name="_Toc20823308"/>
      <w:r/>
      <w:bookmarkStart w:id="163" w:name="_Toc120614220"/>
      <w:r/>
      <w:bookmarkStart w:id="164" w:name="_Toc513029236"/>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5" w:name="_Toc16938553"/>
      <w:r/>
      <w:bookmarkStart w:id="166" w:name="_Toc513029237"/>
      <w:r/>
      <w:bookmarkStart w:id="167" w:name="_Toc20823309"/>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w:t>
      </w:r>
      <w:r>
        <w:rPr>
          <w:rFonts w:hint="eastAsia" w:ascii="宋体" w:hAnsi="宋体" w:eastAsia="宋体" w:cs="宋体"/>
          <w:color w:val="auto"/>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865"/>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采购人优先采购各级政府部门公开发布的有效期内的创新产品、创新服务、首台套、首购首用等《目录》中的创新产品。</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32.8.1本项目对采购本国产品给予政策支持，具体内容见招标文件“第五章 评标方法与评标标准”。</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86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865"/>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34.代理服务费</w:t>
      </w:r>
      <w:r/>
    </w:p>
    <w:p>
      <w:pPr>
        <w:pStyle w:val="865"/>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本项目代理服务费由招标人支付。</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keepLines w:val="0"/>
        <w:keepNext w:val="0"/>
        <w:pageBreakBefore w:val="0"/>
        <w:spacing w:line="500" w:lineRule="exact"/>
        <w:widowControl w:val="off"/>
        <w:rPr>
          <w:rFonts w:hint="eastAsia" w:ascii="黑体" w:hAnsi="宋体" w:eastAsia="黑体" w:cs="黑体"/>
          <w:b/>
          <w:color w:val="auto"/>
          <w:sz w:val="44"/>
          <w:szCs w:val="44"/>
          <w:highlight w:val="none"/>
          <w:lang w:val="en-US" w:eastAsia="zh-CN" w:bidi="ar-SA"/>
        </w:rPr>
      </w:pPr>
      <w:r>
        <w:rPr>
          <w:rFonts w:hint="eastAsia" w:ascii="黑体" w:hAnsi="宋体" w:eastAsia="黑体" w:cs="黑体"/>
          <w:b/>
          <w:color w:val="auto"/>
          <w:sz w:val="44"/>
          <w:szCs w:val="44"/>
          <w:highlight w:val="none"/>
          <w:lang w:val="en-US" w:eastAsia="zh-CN" w:bidi="ar-SA"/>
        </w:rPr>
        <w:t xml:space="preserve">第三章  合同文本</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8" w:name="_Toc20823315"/>
      <w:r/>
      <w:bookmarkStart w:id="169" w:name="_Toc513029243"/>
      <w:r/>
      <w:bookmarkStart w:id="170"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865"/>
        <w:jc w:val="center"/>
        <w:keepLines w:val="0"/>
        <w:keepNext w:val="0"/>
        <w:pageBreakBefore w:val="0"/>
        <w:spacing w:before="145" w:beforeAutospacing="0" w:after="145" w:afterAutospacing="0" w:line="500" w:lineRule="exact"/>
        <w:widowControl w:val="off"/>
        <w:rPr>
          <w:color w:val="auto"/>
          <w:sz w:val="24"/>
          <w:szCs w:val="24"/>
          <w:highlight w:val="none"/>
        </w:rPr>
      </w:pPr>
      <w:r>
        <w:rPr>
          <w:color w:val="auto"/>
          <w:sz w:val="24"/>
          <w:szCs w:val="24"/>
          <w:highlight w:val="none"/>
        </w:rPr>
        <w:t xml:space="preserve"> </w:t>
      </w:r>
      <w:r/>
    </w:p>
    <w:p>
      <w:pPr>
        <w:pStyle w:val="865"/>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盐城市政府采购合同（服务）（合同编号）</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2026年东台市不动产登记继承、委托公证法律服务项目（第二次）</w:t>
      </w:r>
      <w:r>
        <w:rPr>
          <w:rFonts w:hint="eastAsia" w:ascii="宋体" w:hAnsi="宋体" w:eastAsia="宋体" w:cs="宋体"/>
          <w:color w:val="auto"/>
          <w:sz w:val="24"/>
          <w:szCs w:val="24"/>
          <w:highlight w:val="none"/>
        </w:rPr>
        <w:t xml:space="preserve">公开招标的结果，签署本合同。</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865"/>
        <w:ind w:left="0" w:firstLine="480"/>
        <w:jc w:val="both"/>
        <w:keepLines w:val="0"/>
        <w:keepNext w:val="0"/>
        <w:pageBreakBefore w:val="0"/>
        <w:spacing w:beforeAutospacing="0" w:afterAutospacing="0" w:line="480" w:lineRule="exact"/>
        <w:widowControl w:val="off"/>
        <w:rPr>
          <w:rFonts w:hint="eastAsia" w:eastAsia="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2026年东台市不动产登记继承、委托公证法律服务项目（第二次）</w:t>
      </w:r>
      <w:r/>
    </w:p>
    <w:p>
      <w:pPr>
        <w:pStyle w:val="865"/>
        <w:ind w:left="0" w:firstLine="480"/>
        <w:jc w:val="both"/>
        <w:keepLines w:val="0"/>
        <w:keepNext w:val="0"/>
        <w:pageBreakBefore w:val="0"/>
        <w:spacing w:beforeAutospacing="0" w:afterAutospacing="0" w:line="480" w:lineRule="exact"/>
        <w:widowControl w:val="off"/>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合格，满足甲方的工作需求。</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履行时间（期限）：合同签订之日起至</w:t>
      </w:r>
      <w:r>
        <w:rPr>
          <w:rFonts w:hint="eastAsia" w:ascii="宋体" w:hAnsi="宋体" w:eastAsia="宋体" w:cs="宋体"/>
          <w:color w:val="auto"/>
          <w:sz w:val="24"/>
          <w:szCs w:val="24"/>
          <w:highlight w:val="none"/>
          <w:lang w:val="en-US" w:eastAsia="zh-CN"/>
        </w:rPr>
        <w:t xml:space="preserve"> 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p>
    <w:p>
      <w:pPr>
        <w:pStyle w:val="865"/>
        <w:ind w:left="0" w:firstLine="480"/>
        <w:jc w:val="both"/>
        <w:keepLines w:val="0"/>
        <w:keepNext w:val="0"/>
        <w:pageBreakBefore w:val="0"/>
        <w:spacing w:beforeAutospacing="0" w:afterAutospacing="0" w:line="480" w:lineRule="exact"/>
        <w:widowControl w:val="off"/>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东台市</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2.1本合同金额为（大写）：</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4924"/>
        <w:gridCol w:w="925"/>
        <w:gridCol w:w="1583"/>
      </w:tblGrid>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w:t>
            </w:r>
            <w:r/>
          </w:p>
        </w:tc>
      </w:tr>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正常继承公证服务</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有代位继承、转继承情形的继承公证服务</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4924"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农村宅基地房屋正常继承公证服务</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农村宅基地房屋</w:t>
            </w:r>
            <w:r>
              <w:rPr>
                <w:rFonts w:hint="eastAsia" w:ascii="宋体" w:hAnsi="宋体" w:eastAsia="宋体" w:cs="宋体"/>
                <w:color w:val="auto"/>
                <w:sz w:val="24"/>
                <w:szCs w:val="24"/>
                <w:highlight w:val="none"/>
                <w:lang w:val="en-US" w:eastAsia="zh-CN"/>
              </w:rPr>
              <w:t xml:space="preserve">有转继承、代位继承</w:t>
            </w:r>
            <w:r>
              <w:rPr>
                <w:rFonts w:hint="eastAsia" w:ascii="宋体" w:hAnsi="宋体" w:eastAsia="宋体" w:cs="宋体"/>
                <w:color w:val="auto"/>
                <w:sz w:val="24"/>
                <w:szCs w:val="24"/>
                <w:highlight w:val="none"/>
                <w:lang w:val="en-US" w:eastAsia="zh-CN" w:bidi="ar-SA"/>
              </w:rPr>
              <w:t xml:space="preserve">公证服务</w:t>
            </w:r>
            <w:r/>
          </w:p>
        </w:tc>
        <w:tc>
          <w:tcPr>
            <w:shd w:val="clear" w:color="auto" w:fill="auto"/>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shd w:val="clear" w:color="auto" w:fill="auto"/>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委托公证服务</w:t>
            </w:r>
            <w:r/>
          </w:p>
        </w:tc>
        <w:tc>
          <w:tcPr>
            <w:shd w:val="clear" w:color="auto" w:fill="auto"/>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shd w:val="clear" w:color="auto" w:fill="auto"/>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bl>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865"/>
        <w:ind w:left="0" w:firstLine="480"/>
        <w:jc w:val="both"/>
        <w:keepLines w:val="0"/>
        <w:keepNext w:val="0"/>
        <w:pageBreakBefore w:val="0"/>
        <w:spacing w:beforeAutospacing="0" w:afterAutospacing="0"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6.1乙方交纳人民币</w:t>
      </w:r>
      <w:r>
        <w:rPr>
          <w:rFonts w:hint="eastAsia" w:ascii="宋体" w:hAnsi="宋体" w:eastAsia="宋体" w:cs="宋体"/>
          <w:color w:val="auto"/>
          <w:sz w:val="24"/>
          <w:szCs w:val="24"/>
          <w:highlight w:val="none"/>
          <w:u w:val="single"/>
          <w:lang w:val="en-US" w:eastAsia="zh-CN"/>
        </w:rPr>
        <w:t xml:space="preserve">  10000.00  </w:t>
      </w:r>
      <w:r>
        <w:rPr>
          <w:rFonts w:hint="eastAsia" w:ascii="宋体" w:hAnsi="宋体" w:eastAsia="宋体" w:cs="宋体"/>
          <w:color w:val="auto"/>
          <w:sz w:val="24"/>
          <w:szCs w:val="24"/>
          <w:highlight w:val="none"/>
        </w:rPr>
        <w:t xml:space="preserve">元作为本合同的履约保证金。</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6.2乙方如信用评价等级为AA评级及以上（需在签订采购合同前提供信用管理部门备案的第三方信用报告，且信用报告通过“信用盐城网”可查实）的，则免收履约保证金。</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6.3.1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6.3.2 如以履约保函（保险）形式缴纳履约保证金，供应商可通过政府采购电子履约保函（保险）平台（www.jsdzbh.com）在线申请履约保函（保险）。</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履约保证金的退还：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.2时间：验收合格且采购人收到发票后30日内。</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.4不予退还情形：</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7.2乙方不得将合同标的分包给他人履行。</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u w:val="none"/>
        </w:rPr>
      </w:pPr>
      <w:r>
        <w:rPr>
          <w:rFonts w:hint="eastAsia" w:ascii="宋体" w:hAnsi="宋体" w:eastAsia="宋体" w:cs="宋体"/>
          <w:color w:val="auto"/>
          <w:sz w:val="24"/>
          <w:szCs w:val="24"/>
          <w:highlight w:val="none"/>
          <w:u w:val="none"/>
        </w:rPr>
        <w:t xml:space="preserve">8.1.1 合</w:t>
      </w:r>
      <w:r>
        <w:rPr>
          <w:rFonts w:hint="eastAsia" w:ascii="宋体" w:hAnsi="宋体" w:eastAsia="宋体" w:cs="宋体"/>
          <w:color w:val="auto"/>
          <w:sz w:val="24"/>
          <w:szCs w:val="24"/>
          <w:highlight w:val="none"/>
        </w:rPr>
        <w:t xml:space="preserve">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相应金额的有效</w:t>
      </w:r>
      <w:r>
        <w:rPr>
          <w:rFonts w:hint="eastAsia" w:ascii="宋体" w:hAnsi="宋体" w:eastAsia="宋体" w:cs="宋体"/>
          <w:color w:val="auto"/>
          <w:sz w:val="24"/>
          <w:szCs w:val="24"/>
          <w:highlight w:val="none"/>
        </w:rPr>
        <w:t xml:space="preserve">发票后</w:t>
      </w:r>
      <w:r>
        <w:rPr>
          <w:rFonts w:hint="eastAsia" w:ascii="宋体" w:hAnsi="宋体" w:eastAsia="宋体" w:cs="宋体"/>
          <w:color w:val="auto"/>
          <w:sz w:val="24"/>
          <w:szCs w:val="24"/>
          <w:highlight w:val="none"/>
          <w:lang w:val="en-US" w:eastAsia="zh-CN"/>
        </w:rPr>
        <w:t xml:space="preserve">原则上在</w:t>
      </w:r>
      <w:r>
        <w:rPr>
          <w:rFonts w:hint="eastAsia" w:ascii="宋体" w:hAnsi="宋体" w:eastAsia="宋体" w:cs="宋体"/>
          <w:color w:val="auto"/>
          <w:sz w:val="24"/>
          <w:szCs w:val="24"/>
          <w:highlight w:val="none"/>
        </w:rPr>
        <w:t xml:space="preserve">10个工作日内</w:t>
      </w:r>
      <w:r>
        <w:rPr>
          <w:rFonts w:hint="eastAsia" w:ascii="宋体" w:hAnsi="宋体" w:eastAsia="宋体" w:cs="宋体"/>
          <w:color w:val="auto"/>
          <w:sz w:val="24"/>
          <w:szCs w:val="24"/>
          <w:highlight w:val="none"/>
          <w:lang w:val="en-US" w:eastAsia="zh-CN"/>
        </w:rPr>
        <w:t xml:space="preserve">支付预付款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预付款支付比例</w:t>
      </w:r>
      <w:r>
        <w:rPr>
          <w:rFonts w:hint="eastAsia" w:ascii="宋体" w:hAnsi="宋体" w:eastAsia="宋体" w:cs="宋体"/>
          <w:color w:val="auto"/>
          <w:sz w:val="24"/>
          <w:szCs w:val="24"/>
          <w:highlight w:val="none"/>
          <w:u w:val="none"/>
          <w:lang w:val="en-US" w:eastAsia="zh-CN"/>
        </w:rPr>
        <w:t xml:space="preserve">为预算</w:t>
      </w:r>
      <w:r>
        <w:rPr>
          <w:rFonts w:hint="eastAsia" w:ascii="宋体" w:hAnsi="宋体" w:eastAsia="宋体" w:cs="宋体"/>
          <w:color w:val="auto"/>
          <w:sz w:val="24"/>
          <w:szCs w:val="24"/>
          <w:highlight w:val="none"/>
          <w:u w:val="none"/>
        </w:rPr>
        <w:t xml:space="preserve">金额的</w:t>
      </w:r>
      <w:r>
        <w:rPr>
          <w:rFonts w:hint="eastAsia" w:ascii="宋体" w:hAnsi="宋体" w:eastAsia="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%（预付款项在结算时优先扣除）。</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u w:val="none"/>
        </w:rPr>
      </w:pPr>
      <w:r>
        <w:rPr>
          <w:rFonts w:hint="eastAsia" w:ascii="宋体" w:hAnsi="宋体" w:eastAsia="宋体" w:cs="宋体"/>
          <w:color w:val="auto"/>
          <w:sz w:val="24"/>
          <w:szCs w:val="24"/>
          <w:highlight w:val="none"/>
          <w:u w:val="none"/>
        </w:rPr>
        <w:t xml:space="preserve">8.1.2 按季结算，乙方需在每月15日前将上月实际完成服务的清单报</w:t>
      </w:r>
      <w:r>
        <w:rPr>
          <w:rFonts w:hint="eastAsia" w:ascii="宋体" w:hAnsi="宋体" w:eastAsia="宋体" w:cs="宋体"/>
          <w:color w:val="auto"/>
          <w:sz w:val="24"/>
          <w:szCs w:val="24"/>
          <w:highlight w:val="none"/>
          <w:u w:val="none"/>
          <w:lang w:eastAsia="zh-CN"/>
        </w:rPr>
        <w:t xml:space="preserve">予</w:t>
      </w:r>
      <w:r>
        <w:rPr>
          <w:rFonts w:hint="eastAsia" w:ascii="宋体" w:hAnsi="宋体" w:eastAsia="宋体" w:cs="宋体"/>
          <w:color w:val="auto"/>
          <w:sz w:val="24"/>
          <w:szCs w:val="24"/>
          <w:highlight w:val="none"/>
          <w:u w:val="none"/>
        </w:rPr>
        <w:t xml:space="preserve">甲方，经双方确认后，乙方开具正式发票，甲方原则上在收到正式发票10个工作日内支付服务费用。</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 在签订合同时，乙方明确表示无需预付款或者主动要求降低预付款比例的，甲方可不适用上述关于预付款的规定。</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乙方要求付款应提供以下资料：</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8.3.1 合格的发票。</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8.3.2 随标的物附带的所有有关资料（如委托函、公证书清单等）。</w:t>
      </w:r>
      <w:r/>
    </w:p>
    <w:p>
      <w:pPr>
        <w:pStyle w:val="865"/>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 年度费用超出当年预算后，乙方需继续提供公证法律服务直到履约期满，超出当年预算后另行约定。</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9.1根据现行税法对甲方征收的与本合同有关的一切税费均由甲方承担；根据现行税法对乙方征收的与本合同有关的一切税费均由乙方承担。</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根据项目特点对服务期内的服务实施情况进行验收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乙方应做好</w:t>
      </w:r>
      <w:r>
        <w:rPr>
          <w:rFonts w:hint="eastAsia" w:ascii="宋体" w:hAnsi="宋体" w:eastAsia="宋体" w:cs="宋体"/>
          <w:color w:val="auto"/>
          <w:sz w:val="24"/>
          <w:szCs w:val="24"/>
          <w:highlight w:val="none"/>
          <w:lang w:val="en-US" w:eastAsia="zh-CN"/>
        </w:rPr>
        <w:t xml:space="preserve">验收的</w:t>
      </w:r>
      <w:r>
        <w:rPr>
          <w:rFonts w:hint="eastAsia" w:ascii="宋体" w:hAnsi="宋体" w:eastAsia="宋体" w:cs="宋体"/>
          <w:color w:val="auto"/>
          <w:sz w:val="24"/>
          <w:szCs w:val="24"/>
          <w:highlight w:val="none"/>
        </w:rPr>
        <w:t xml:space="preserve">相应配合工作。</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如有必要，甲方邀请参加本项目的其他供应商或第三方专业机构及专家参与验收，相关意见将作为验收书的参考资料。</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验收合格的项目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甲方根据采购合同的约定及时向乙方支付合同款项</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.1若甲方未能及时验收，且无法提供合理的拒绝理由，视为验收合格。但若甲方能证明拒收是由于乙方服务成果不符合合同约定标准或存在重大缺陷，甲方有权拒收而不承担此违约责任。</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.3乙方</w:t>
      </w:r>
      <w:r>
        <w:rPr>
          <w:rFonts w:hint="eastAsia" w:ascii="宋体" w:hAnsi="宋体" w:eastAsia="宋体" w:cs="宋体"/>
          <w:color w:val="auto"/>
          <w:sz w:val="24"/>
          <w:szCs w:val="24"/>
          <w:highlight w:val="none"/>
          <w:lang w:val="en-US" w:eastAsia="zh-CN"/>
        </w:rPr>
        <w:t xml:space="preserve">未能按采购需求正常履约</w:t>
      </w:r>
      <w:r>
        <w:rPr>
          <w:rFonts w:hint="eastAsia" w:ascii="宋体" w:hAnsi="宋体" w:eastAsia="宋体" w:cs="宋体"/>
          <w:color w:val="auto"/>
          <w:sz w:val="24"/>
          <w:szCs w:val="24"/>
          <w:highlight w:val="none"/>
        </w:rPr>
        <w:t xml:space="preserve">的，乙方应按合同总额每日千分之六向甲方支付违约金。超过约定日期10个工作日不能</w:t>
      </w:r>
      <w:r>
        <w:rPr>
          <w:rFonts w:hint="eastAsia" w:ascii="宋体" w:hAnsi="宋体" w:eastAsia="宋体" w:cs="宋体"/>
          <w:color w:val="auto"/>
          <w:sz w:val="24"/>
          <w:szCs w:val="24"/>
          <w:highlight w:val="none"/>
          <w:lang w:val="en-US" w:eastAsia="zh-CN"/>
        </w:rPr>
        <w:t xml:space="preserve">正常履约</w:t>
      </w:r>
      <w:r>
        <w:rPr>
          <w:rFonts w:hint="eastAsia" w:ascii="宋体" w:hAnsi="宋体" w:eastAsia="宋体" w:cs="宋体"/>
          <w:color w:val="auto"/>
          <w:sz w:val="24"/>
          <w:szCs w:val="24"/>
          <w:highlight w:val="none"/>
        </w:rPr>
        <w:t xml:space="preserve">的，甲方可解除本合同。甲方依法依约解除合同的，乙方应向甲方支付合同金额5%的违约金，乙方应退还预付款，甲方有权不再</w:t>
      </w:r>
      <w:r>
        <w:rPr>
          <w:rFonts w:hint="eastAsia" w:ascii="宋体" w:hAnsi="宋体" w:eastAsia="宋体" w:cs="宋体"/>
          <w:color w:val="auto"/>
          <w:sz w:val="24"/>
          <w:szCs w:val="24"/>
          <w:highlight w:val="none"/>
          <w:lang w:val="en-US" w:eastAsia="zh-CN"/>
        </w:rPr>
        <w:t xml:space="preserve">支付任何款项</w:t>
      </w:r>
      <w:r>
        <w:rPr>
          <w:rFonts w:hint="eastAsia" w:ascii="宋体" w:hAnsi="宋体" w:eastAsia="宋体" w:cs="宋体"/>
          <w:color w:val="auto"/>
          <w:sz w:val="24"/>
          <w:szCs w:val="24"/>
          <w:highlight w:val="none"/>
        </w:rPr>
        <w:t xml:space="preserve">。如造成甲方损失超过违约金的，超出部分由乙方继续承担赔偿责任。 </w:t>
      </w:r>
      <w:r/>
    </w:p>
    <w:p>
      <w:pPr>
        <w:pStyle w:val="86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.5若乙方违反知识产权、保密条款，除支付违约金外，还应立即停止侵权行为，消除影响，并赔偿甲方因此遭受的损失。 </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12.1在合同有效期内，任何一方因不可抗力事件导致不能履行合同，则合同履行期可延长，其延长期与不可抗力影响期相同。</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865"/>
        <w:ind w:left="0" w:firstLine="482"/>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十四、合同生效及其</w:t>
      </w:r>
      <w:r>
        <w:rPr>
          <w:rFonts w:hint="eastAsia" w:ascii="宋体" w:hAnsi="宋体" w:eastAsia="宋体" w:cs="宋体"/>
          <w:b/>
          <w:color w:val="auto"/>
          <w:sz w:val="24"/>
          <w:szCs w:val="24"/>
          <w:highlight w:val="none"/>
          <w:lang w:eastAsia="zh-CN"/>
        </w:rPr>
        <w:t xml:space="preserve">他</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14.2本合同未尽事宜，遵照《</w:t>
      </w:r>
      <w:r>
        <w:rPr>
          <w:rFonts w:hint="eastAsia" w:ascii="宋体" w:hAnsi="宋体" w:eastAsia="宋体" w:cs="宋体"/>
          <w:color w:val="auto"/>
          <w:sz w:val="24"/>
          <w:szCs w:val="24"/>
          <w:highlight w:val="none"/>
          <w:lang w:eastAsia="zh-CN"/>
        </w:rPr>
        <w:t xml:space="preserve">中华人民共和国民法典》《中华人民共和国政府采购法》等</w:t>
      </w:r>
      <w:r>
        <w:rPr>
          <w:rFonts w:hint="eastAsia" w:ascii="宋体" w:hAnsi="宋体" w:eastAsia="宋体" w:cs="宋体"/>
          <w:color w:val="auto"/>
          <w:sz w:val="24"/>
          <w:szCs w:val="24"/>
          <w:highlight w:val="none"/>
        </w:rPr>
        <w:t xml:space="preserve">有关条文执行。</w:t>
      </w:r>
      <w:r/>
    </w:p>
    <w:p>
      <w:pPr>
        <w:pStyle w:val="86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14.3 本合同正本一式六份，具有同等法律效力，甲方、乙方各执三份。</w:t>
      </w:r>
      <w:r>
        <w:rPr>
          <w:color w:val="auto"/>
          <w:sz w:val="24"/>
          <w:szCs w:val="24"/>
          <w:highlight w:val="none"/>
        </w:rPr>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86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86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86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86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65"/>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65"/>
        <w:jc w:val="center"/>
        <w:keepLines w:val="0"/>
        <w:keepNext w:val="0"/>
        <w:pageBreakBefore w:val="0"/>
        <w:spacing w:before="120" w:beforeAutospacing="0" w:after="120" w:afterAutospacing="0" w:line="500" w:lineRule="exact"/>
        <w:widowControl w:val="off"/>
        <w:rPr>
          <w:color w:val="auto"/>
          <w:highlight w:val="none"/>
        </w:rPr>
      </w:pPr>
      <w:r>
        <w:rPr>
          <w:rFonts w:hint="eastAsia" w:ascii="宋体" w:hAnsi="宋体" w:eastAsia="宋体" w:cs="宋体"/>
          <w:color w:val="auto"/>
          <w:sz w:val="24"/>
          <w:szCs w:val="24"/>
          <w:highlight w:val="none"/>
        </w:rPr>
        <w:t xml:space="preserve">               签订日期：      年    月   日</w:t>
      </w:r>
      <w:bookmarkStart w:id="171" w:name="_Toc479757211"/>
      <w:r/>
      <w:bookmarkStart w:id="172" w:name="_Toc120614244"/>
      <w:r/>
      <w:bookmarkStart w:id="173" w:name="_Toc462564139"/>
      <w:r/>
      <w:bookmarkStart w:id="174" w:name="_Hlt16619350"/>
      <w:r/>
      <w:bookmarkStart w:id="175" w:name="_Toc20823346"/>
      <w:r/>
      <w:bookmarkStart w:id="176" w:name="_Toc16938590"/>
      <w:r/>
      <w:bookmarkStart w:id="177" w:name="_Hlt16619369"/>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bookmarkStart w:id="178" w:name="_Toc26554093"/>
      <w:r/>
      <w:bookmarkStart w:id="179" w:name="_Toc49090575"/>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服务类项目。</w:t>
      </w:r>
      <w:bookmarkEnd w:id="178"/>
      <w:r/>
      <w:bookmarkEnd w:id="179"/>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65"/>
        <w:ind w:firstLine="482"/>
        <w:jc w:val="both"/>
        <w:spacing w:beforeAutospacing="0" w:afterAutospacing="0"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一、采购内容</w:t>
      </w:r>
      <w:r/>
    </w:p>
    <w:p>
      <w:pPr>
        <w:pStyle w:val="865"/>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不动产登记机构为继承人提供政府购买继承公证法律服务，为不动产登记委托人提供政府购买委托公证法律服务。</w:t>
      </w:r>
      <w:r/>
    </w:p>
    <w:p>
      <w:pPr>
        <w:pStyle w:val="865"/>
        <w:numPr>
          <w:ilvl w:val="0"/>
          <w:numId w:val="0"/>
        </w:numPr>
        <w:ind w:firstLine="482"/>
        <w:jc w:val="both"/>
        <w:spacing w:beforeAutospacing="0" w:afterAutospacing="0" w:line="440" w:lineRule="exact"/>
        <w:rPr>
          <w:rFonts w:hint="eastAsia" w:ascii="宋体" w:hAnsi="宋体" w:eastAsia="宋体" w:cs="宋体"/>
          <w:b/>
          <w:bCs/>
          <w:color w:val="auto"/>
          <w:szCs w:val="22"/>
          <w:highlight w:val="none"/>
          <w:lang w:val="en-US" w:eastAsia="zh-CN"/>
        </w:rPr>
      </w:pPr>
      <w:r>
        <w:rPr>
          <w:rFonts w:hint="eastAsia" w:ascii="宋体" w:hAnsi="宋体" w:eastAsia="宋体" w:cs="宋体"/>
          <w:b/>
          <w:bCs/>
          <w:color w:val="auto"/>
          <w:sz w:val="24"/>
          <w:szCs w:val="22"/>
          <w:highlight w:val="none"/>
          <w:lang w:val="en-US" w:eastAsia="zh-CN" w:bidi="ar-SA"/>
        </w:rPr>
        <w:t xml:space="preserve">二、</w:t>
      </w:r>
      <w:r>
        <w:rPr>
          <w:rFonts w:hint="eastAsia" w:ascii="宋体" w:hAnsi="宋体" w:eastAsia="宋体" w:cs="宋体"/>
          <w:b/>
          <w:bCs/>
          <w:color w:val="auto"/>
          <w:szCs w:val="22"/>
          <w:highlight w:val="none"/>
          <w:lang w:val="en-US" w:eastAsia="zh-CN"/>
        </w:rPr>
        <w:t xml:space="preserve">履约地点</w:t>
      </w:r>
      <w:r/>
    </w:p>
    <w:p>
      <w:pPr>
        <w:pStyle w:val="865"/>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（1）公证机构办公场所。</w:t>
      </w:r>
      <w:r/>
    </w:p>
    <w:p>
      <w:pPr>
        <w:pStyle w:val="865"/>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（2）东台市不动产登记中心全日制值班，工作日9：00-16：30。</w:t>
      </w:r>
      <w:r/>
    </w:p>
    <w:p>
      <w:pPr>
        <w:pStyle w:val="865"/>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（3）值班点需投入适量公证人员到岗，根据工作量和办证时限合理增减人员。</w:t>
      </w:r>
      <w:r/>
    </w:p>
    <w:p>
      <w:pPr>
        <w:pStyle w:val="865"/>
        <w:ind w:firstLine="48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（4）值班点配备的所有工作人员须按照东台市不动产登记中心的工作时间值班并遵守其工作纪律。</w:t>
      </w:r>
      <w:r/>
    </w:p>
    <w:p>
      <w:pPr>
        <w:pStyle w:val="865"/>
        <w:numPr>
          <w:ilvl w:val="0"/>
          <w:numId w:val="0"/>
        </w:numPr>
        <w:ind w:firstLine="482"/>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Cs w:val="22"/>
          <w:highlight w:val="none"/>
          <w:lang w:val="en-US" w:eastAsia="zh-CN"/>
        </w:rPr>
        <w:t xml:space="preserve">履约期限</w:t>
      </w:r>
      <w:r/>
    </w:p>
    <w:p>
      <w:pPr>
        <w:pStyle w:val="865"/>
        <w:ind w:firstLine="480"/>
        <w:jc w:val="both"/>
        <w:spacing w:beforeAutospacing="0" w:afterAutospacing="0" w:line="440" w:lineRule="exact"/>
        <w:rPr>
          <w:rFonts w:hint="eastAsia" w:cs="宋体"/>
          <w:bCs/>
          <w:color w:val="auto"/>
          <w:sz w:val="24"/>
          <w:szCs w:val="24"/>
          <w:highlight w:val="none"/>
          <w:lang w:val="en-US" w:eastAsia="zh-CN" w:bidi="ar-SA"/>
        </w:rPr>
      </w:pPr>
      <w:r>
        <w:rPr>
          <w:rFonts w:hint="eastAsia" w:cs="宋体"/>
          <w:bCs/>
          <w:color w:val="auto"/>
          <w:sz w:val="24"/>
          <w:szCs w:val="24"/>
          <w:highlight w:val="none"/>
          <w:lang w:val="en-US" w:eastAsia="zh-CN" w:bidi="ar-SA"/>
        </w:rPr>
        <w:t xml:space="preserve">合同签订之日起至2026年11月30日。</w:t>
      </w:r>
      <w:r/>
    </w:p>
    <w:p>
      <w:pPr>
        <w:pStyle w:val="865"/>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、服务内容</w:t>
      </w:r>
      <w:r/>
    </w:p>
    <w:p>
      <w:pPr>
        <w:pStyle w:val="865"/>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（1）负责接待东台市不动产登记中心交办的继承、委托公证咨询。</w:t>
      </w:r>
      <w:r/>
    </w:p>
    <w:p>
      <w:pPr>
        <w:pStyle w:val="865"/>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（2）负责办理东台市不动产登记中心交办的继承、委托公证。以及不动产登记中心认为需要当事人的合法继承人协议公证的事项。</w:t>
      </w:r>
      <w:r/>
    </w:p>
    <w:p>
      <w:pPr>
        <w:pStyle w:val="865"/>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（3）对符合公证程序规则的上述继承、委托事项出具继承、委托公证书。</w:t>
      </w:r>
      <w:r/>
    </w:p>
    <w:p>
      <w:pPr>
        <w:pStyle w:val="865"/>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（4）公证机构在收件日后原则上应该在3个工作日左右完成材料的初步核实。</w:t>
      </w:r>
      <w:r/>
    </w:p>
    <w:p>
      <w:pPr>
        <w:pStyle w:val="865"/>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（5）通过初步核实后公证机构应当立即通知当事人及相关人员来申办公证，原则上在7个工作日之内出具公证书，但因当事人原因无法完成的除外。</w:t>
      </w:r>
      <w:r/>
    </w:p>
    <w:p>
      <w:pPr>
        <w:pStyle w:val="865"/>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、服务范围</w:t>
      </w:r>
      <w:r/>
    </w:p>
    <w:p>
      <w:pPr>
        <w:pStyle w:val="865"/>
        <w:ind w:firstLine="48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（1）受东台市不动产登记中心委托的其管辖范围内的不动产继承、委托公证以及不动产登记中心认为需要当事人的合法继承人协议公证的法律服务事项。</w:t>
      </w:r>
      <w:r/>
    </w:p>
    <w:p>
      <w:pPr>
        <w:pStyle w:val="865"/>
        <w:ind w:firstLine="480"/>
        <w:jc w:val="both"/>
        <w:spacing w:beforeAutospacing="0" w:afterAutospacing="0" w:line="440" w:lineRule="exact"/>
        <w:rPr>
          <w:rFonts w:ascii="宋体" w:hAnsi="宋体" w:eastAsia="宋体" w:cs="宋体"/>
          <w:color w:val="auto"/>
          <w:highlight w:val="none"/>
        </w:rPr>
      </w:pPr>
      <w:r>
        <w:rPr>
          <w:rFonts w:hint="eastAsia" w:ascii="宋体" w:hAnsi="宋体" w:eastAsia="宋体" w:cs="宋体"/>
          <w:color w:val="auto"/>
          <w:highlight w:val="none"/>
        </w:rPr>
        <w:t xml:space="preserve">（2）除当事人有争议、申请人举证不足或其他无法完成核实的情况外，东台市不动产登记中心交办的继承、委托公证均须依法办理，并依法出具公证文书。</w:t>
      </w:r>
      <w:r/>
    </w:p>
    <w:p>
      <w:pPr>
        <w:pStyle w:val="865"/>
        <w:ind w:firstLine="480"/>
        <w:jc w:val="both"/>
        <w:spacing w:beforeAutospacing="0" w:afterAutospacing="0" w:line="440" w:lineRule="exact"/>
        <w:rPr>
          <w:rFonts w:ascii="宋体" w:hAnsi="宋体" w:eastAsia="宋体" w:cs="宋体"/>
          <w:b/>
          <w:bCs/>
          <w:color w:val="auto"/>
          <w:highlight w:val="none"/>
        </w:rPr>
      </w:pPr>
      <w:r>
        <w:rPr>
          <w:rFonts w:hint="eastAsia" w:ascii="宋体" w:hAnsi="宋体" w:eastAsia="宋体" w:cs="宋体"/>
          <w:b/>
          <w:bCs/>
          <w:color w:val="auto"/>
          <w:szCs w:val="22"/>
          <w:highlight w:val="none"/>
          <w:lang w:val="en-US" w:eastAsia="zh-CN"/>
        </w:rPr>
        <w:t xml:space="preserve">六、</w:t>
      </w:r>
      <w:r>
        <w:rPr>
          <w:rFonts w:hint="eastAsia" w:ascii="宋体" w:hAnsi="宋体" w:eastAsia="宋体" w:cs="宋体"/>
          <w:b/>
          <w:bCs/>
          <w:color w:val="auto"/>
          <w:szCs w:val="22"/>
          <w:highlight w:val="none"/>
        </w:rPr>
        <w:t xml:space="preserve">服务标准</w:t>
      </w:r>
      <w:r/>
    </w:p>
    <w:p>
      <w:pPr>
        <w:pStyle w:val="858"/>
        <w:ind w:firstLine="480"/>
        <w:spacing w:line="440" w:lineRule="exact"/>
        <w:rPr>
          <w:rFonts w:hint="eastAsia" w:ascii="宋体" w:hAnsi="宋体" w:eastAsia="宋体" w:cs="宋体"/>
          <w:color w:val="auto"/>
          <w:szCs w:val="22"/>
          <w:highlight w:val="none"/>
        </w:rPr>
        <w:outlineLvl w:val="1"/>
      </w:pPr>
      <w:r>
        <w:rPr>
          <w:rFonts w:hint="eastAsia" w:ascii="宋体" w:hAnsi="宋体" w:eastAsia="宋体" w:cs="宋体"/>
          <w:color w:val="auto"/>
          <w:szCs w:val="22"/>
          <w:highlight w:val="none"/>
        </w:rPr>
        <w:t xml:space="preserve">态度热情，语言文明，举止得体，服务规范；公正廉洁，依法办事，诚实守信；处理接待事项应当尊重当事人。</w:t>
      </w:r>
      <w:r/>
    </w:p>
    <w:p>
      <w:pPr>
        <w:pStyle w:val="858"/>
        <w:ind w:firstLine="480"/>
        <w:spacing w:line="440" w:lineRule="exact"/>
        <w:rPr>
          <w:rFonts w:hint="eastAsia" w:ascii="宋体" w:hAnsi="宋体" w:eastAsia="宋体" w:cs="宋体"/>
          <w:color w:val="auto"/>
          <w:szCs w:val="22"/>
          <w:highlight w:val="none"/>
        </w:rPr>
        <w:outlineLvl w:val="1"/>
      </w:pPr>
      <w:r>
        <w:rPr>
          <w:rFonts w:hint="eastAsia" w:ascii="宋体" w:hAnsi="宋体" w:eastAsia="宋体" w:cs="宋体"/>
          <w:color w:val="auto"/>
          <w:szCs w:val="22"/>
          <w:highlight w:val="none"/>
        </w:rPr>
        <w:t xml:space="preserve">不得有下列行为：（1）歧视来访人员，推诿、拖延办理来访事项；（2）收受来访人员财物；（3）泄露当事人隐私；（4）遗弃、隐匿和擅自销毁来访材料；（5）向来访人员推介特定机构和人员提供的有偿法律服务。</w:t>
      </w:r>
      <w:r/>
    </w:p>
    <w:p>
      <w:pPr>
        <w:pStyle w:val="858"/>
        <w:ind w:firstLine="482"/>
        <w:spacing w:line="440" w:lineRule="exact"/>
        <w:rPr>
          <w:rFonts w:hint="default" w:ascii="宋体" w:hAnsi="宋体" w:eastAsia="宋体" w:cs="宋体"/>
          <w:color w:val="auto"/>
          <w:szCs w:val="22"/>
          <w:highlight w:val="none"/>
          <w:lang w:val="en-US" w:eastAsia="zh-CN"/>
        </w:rPr>
        <w:outlineLvl w:val="1"/>
      </w:pPr>
      <w:r>
        <w:rPr>
          <w:rFonts w:hint="eastAsia" w:hAnsi="宋体" w:eastAsia="宋体" w:cs="宋体"/>
          <w:b/>
          <w:bCs/>
          <w:color w:val="auto"/>
          <w:szCs w:val="22"/>
          <w:highlight w:val="none"/>
          <w:lang w:val="en-US" w:eastAsia="zh-CN"/>
        </w:rPr>
        <w:t xml:space="preserve">七</w:t>
      </w:r>
      <w:r>
        <w:rPr>
          <w:rFonts w:hint="eastAsia" w:ascii="宋体" w:hAnsi="宋体" w:eastAsia="宋体" w:cs="宋体"/>
          <w:b/>
          <w:bCs/>
          <w:color w:val="auto"/>
          <w:szCs w:val="22"/>
          <w:highlight w:val="none"/>
          <w:lang w:val="en-US" w:eastAsia="zh-CN"/>
        </w:rPr>
        <w:t xml:space="preserve">、</w:t>
      </w:r>
      <w:r>
        <w:rPr>
          <w:rFonts w:hint="eastAsia" w:hAnsi="宋体" w:eastAsia="宋体" w:cs="宋体"/>
          <w:b/>
          <w:bCs/>
          <w:color w:val="auto"/>
          <w:szCs w:val="22"/>
          <w:highlight w:val="none"/>
          <w:lang w:val="en-US" w:eastAsia="zh-CN"/>
        </w:rPr>
        <w:t xml:space="preserve">服务责任</w:t>
      </w:r>
      <w:r/>
    </w:p>
    <w:p>
      <w:pPr>
        <w:pStyle w:val="858"/>
        <w:ind w:firstLine="480"/>
        <w:spacing w:line="440" w:lineRule="exact"/>
        <w:rPr>
          <w:rFonts w:hint="eastAsia" w:ascii="宋体" w:hAnsi="宋体" w:eastAsia="宋体" w:cs="宋体"/>
          <w:color w:val="auto"/>
          <w:szCs w:val="22"/>
          <w:highlight w:val="none"/>
        </w:rPr>
        <w:outlineLvl w:val="1"/>
      </w:pPr>
      <w:r>
        <w:rPr>
          <w:rFonts w:hint="eastAsia" w:ascii="宋体" w:hAnsi="宋体" w:eastAsia="宋体" w:cs="宋体"/>
          <w:color w:val="auto"/>
          <w:szCs w:val="22"/>
          <w:highlight w:val="none"/>
        </w:rPr>
        <w:t xml:space="preserve">因公证机构出具公证书存在瑕疵所导致的登记错误而引发的赔偿，包含且不仅限于法院生效的法律文书所认定的登记机构的赔偿责任及由此产生的律师费、诉讼等费用由公证机构承担。</w:t>
      </w:r>
      <w:r/>
    </w:p>
    <w:p>
      <w:pPr>
        <w:pStyle w:val="858"/>
        <w:ind w:firstLine="482"/>
        <w:spacing w:line="440" w:lineRule="exact"/>
        <w:rPr>
          <w:rFonts w:hint="eastAsia" w:ascii="宋体" w:hAnsi="宋体" w:eastAsia="宋体" w:cs="宋体"/>
          <w:color w:val="auto"/>
          <w:szCs w:val="22"/>
          <w:highlight w:val="none"/>
        </w:rPr>
        <w:outlineLvl w:val="1"/>
      </w:pPr>
      <w:r>
        <w:rPr>
          <w:rFonts w:hint="eastAsia" w:hAnsi="宋体" w:eastAsia="宋体" w:cs="宋体"/>
          <w:b/>
          <w:bCs/>
          <w:color w:val="auto"/>
          <w:szCs w:val="22"/>
          <w:highlight w:val="none"/>
          <w:lang w:val="en-US" w:eastAsia="zh-CN"/>
        </w:rPr>
        <w:t xml:space="preserve">八</w:t>
      </w:r>
      <w:r>
        <w:rPr>
          <w:rFonts w:hint="eastAsia" w:ascii="宋体" w:hAnsi="宋体" w:eastAsia="宋体" w:cs="宋体"/>
          <w:b/>
          <w:bCs/>
          <w:color w:val="auto"/>
          <w:szCs w:val="22"/>
          <w:highlight w:val="none"/>
          <w:lang w:val="en-US" w:eastAsia="zh-CN"/>
        </w:rPr>
        <w:t xml:space="preserve">、人员要求</w:t>
      </w:r>
      <w:r/>
    </w:p>
    <w:p>
      <w:pPr>
        <w:pStyle w:val="858"/>
        <w:ind w:firstLine="482"/>
        <w:spacing w:line="440" w:lineRule="exact"/>
        <w:rPr>
          <w:rFonts w:hint="eastAsia" w:ascii="宋体" w:hAnsi="宋体" w:eastAsia="宋体" w:cs="宋体"/>
          <w:color w:val="auto"/>
          <w:szCs w:val="22"/>
          <w:highlight w:val="none"/>
        </w:rPr>
        <w:outlineLvl w:val="1"/>
      </w:pPr>
      <w:r>
        <w:rPr>
          <w:rFonts w:hint="eastAsia" w:ascii="宋体" w:hAnsi="宋体" w:eastAsia="宋体" w:cs="宋体"/>
          <w:color w:val="auto"/>
          <w:szCs w:val="22"/>
          <w:highlight w:val="none"/>
          <w:lang w:eastAsia="zh-CN"/>
        </w:rPr>
        <w:t xml:space="preserve">中标单位所提供的公证人员在从业经历中没有任何违法、违规而被查处的不良记录，具有公证员执业证或公证员助理资格证书，公证员执业应当具有良好的沟通协调能力，责任心强（工作时提供公证人员执业资格证）。</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eastAsia="宋体" w:cs="宋体"/>
          <w:b/>
          <w:bCs/>
          <w:color w:val="auto"/>
          <w:highlight w:val="none"/>
          <w:lang w:eastAsia="zh-CN"/>
        </w:rPr>
        <w:t xml:space="preserve">其他</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中标单位接受政府购买公证服务业务，以采购人书面联系函为准。当事人自行委托公证机构办理的公证业务，费用依法由委托人承担。</w:t>
      </w:r>
      <w:r/>
    </w:p>
    <w:p>
      <w:pPr>
        <w:pStyle w:val="865"/>
        <w:numPr>
          <w:ilvl w:val="0"/>
          <w:numId w:val="0"/>
        </w:numPr>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十、采购标的对应的中小企业划分标准所属行业一览表</w:t>
      </w:r>
      <w:r/>
    </w:p>
    <w:tbl>
      <w:tblPr>
        <w:tblStyle w:val="857"/>
        <w:tblW w:w="82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593"/>
        <w:gridCol w:w="3689"/>
      </w:tblGrid>
      <w:tr>
        <w:trPr>
          <w:jc w:val="center"/>
          <w:tblCellSpacing w:w="0" w:type="dxa"/>
          <w:trHeight w:val="616"/>
        </w:trPr>
        <w:tc>
          <w:tcPr>
            <w:shd w:val="clear" w:color="auto" w:fill="auto"/>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pStyle w:val="865"/>
              <w:jc w:val="center"/>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pStyle w:val="865"/>
              <w:jc w:val="center"/>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616"/>
        </w:trPr>
        <w:tc>
          <w:tcPr>
            <w:shd w:val="clear" w:color="auto" w:fill="auto"/>
            <w:tcBorders>
              <w:top w:val="single" w:color="auto" w:sz="4" w:space="0"/>
              <w:left w:val="single" w:color="auto" w:sz="4" w:space="0"/>
              <w:bottom w:val="single" w:color="auto" w:sz="4" w:space="0"/>
              <w:right w:val="single" w:color="auto" w:sz="4" w:space="0"/>
            </w:tcBorders>
            <w:tcW w:w="4593" w:type="dxa"/>
            <w:vAlign w:val="center"/>
            <w:textDirection w:val="lrTb"/>
            <w:noWrap w:val="false"/>
          </w:tcPr>
          <w:p>
            <w:pPr>
              <w:pStyle w:val="865"/>
              <w:jc w:val="center"/>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2026年东台市不动产登记继承、委托公证法律服务项目（第二次）</w:t>
            </w:r>
            <w:r/>
          </w:p>
        </w:tc>
        <w:tc>
          <w:tcPr>
            <w:shd w:val="clear" w:color="auto" w:fill="auto"/>
            <w:tcBorders>
              <w:top w:val="single" w:color="auto" w:sz="4" w:space="0"/>
              <w:left w:val="single" w:color="auto" w:sz="4" w:space="0"/>
              <w:bottom w:val="single" w:color="auto" w:sz="4" w:space="0"/>
              <w:right w:val="single" w:color="auto" w:sz="4" w:space="0"/>
            </w:tcBorders>
            <w:tcW w:w="3689" w:type="dxa"/>
            <w:vAlign w:val="center"/>
            <w:textDirection w:val="lrTb"/>
            <w:noWrap w:val="false"/>
          </w:tcPr>
          <w:p>
            <w:pPr>
              <w:pStyle w:val="865"/>
              <w:jc w:val="center"/>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商务服务业</w:t>
            </w:r>
            <w:r/>
          </w:p>
        </w:tc>
      </w:tr>
    </w:tbl>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5"/>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tabs>
          <w:tab w:val="left" w:pos="62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center"/>
        <w:keepNext/>
        <w:spacing w:beforeAutospacing="0" w:afterAutospacing="0"/>
        <w:rPr>
          <w:rFonts w:hint="eastAsia" w:ascii="宋体" w:hAnsi="宋体" w:eastAsia="宋体" w:cs="宋体"/>
          <w:color w:val="auto"/>
          <w:sz w:val="24"/>
          <w:szCs w:val="24"/>
          <w:highlight w:val="none"/>
        </w:rPr>
      </w:pPr>
      <w:r/>
      <w:bookmarkStart w:id="180" w:name="_Toc120614281"/>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r>
      <w:r/>
    </w:p>
    <w:p>
      <w:pPr>
        <w:pStyle w:val="865"/>
        <w:jc w:val="both"/>
        <w:spacing w:beforeAutospacing="0" w:afterAutospacing="0"/>
        <w:rPr>
          <w:color w:val="auto"/>
          <w:highlight w:val="none"/>
        </w:rPr>
      </w:pPr>
      <w:r>
        <w:rPr>
          <w:color w:val="auto"/>
          <w:highlight w:val="none"/>
        </w:rPr>
        <w:t xml:space="preserve"> </w:t>
      </w:r>
      <w:r/>
    </w:p>
    <w:p>
      <w:pPr>
        <w:pStyle w:val="865"/>
        <w:jc w:val="center"/>
        <w:keepNext/>
        <w:spacing w:beforeAutospacing="0" w:afterAutospacing="0"/>
        <w:rPr>
          <w:color w:val="auto"/>
          <w:highlight w:val="none"/>
        </w:rPr>
      </w:pPr>
      <w:r>
        <w:rPr>
          <w:color w:val="auto"/>
          <w:highlight w:val="none"/>
        </w:rPr>
        <w:t xml:space="preserve"> </w:t>
      </w:r>
      <w:r/>
    </w:p>
    <w:p>
      <w:pPr>
        <w:pStyle w:val="86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5"/>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65"/>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868"/>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中提供所投产品的相关证书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由国家确定的认证机构出具的、处于有效期之内的节能产品、环境标志产品认证证书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。节能产品、环境标志产品品目清单以递交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5"/>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85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303"/>
        <w:gridCol w:w="6379"/>
        <w:gridCol w:w="850"/>
      </w:tblGrid>
      <w:tr>
        <w:trPr/>
        <w:tc>
          <w:tcPr>
            <w:tcW w:w="64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30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评审因素</w:t>
            </w:r>
            <w:r/>
          </w:p>
        </w:tc>
        <w:tc>
          <w:tcPr>
            <w:tcW w:w="637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评分细则</w:t>
            </w:r>
            <w:r/>
          </w:p>
        </w:tc>
        <w:tc>
          <w:tcPr>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范围</w:t>
            </w:r>
            <w:r/>
          </w:p>
        </w:tc>
      </w:tr>
      <w:tr>
        <w:trPr>
          <w:trHeight w:val="126"/>
        </w:trPr>
        <w:tc>
          <w:tcPr>
            <w:tcW w:w="64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30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tcW w:w="6379"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（正常继承公证服务）满足招标文件要求且报价最低的供应商的价格为基准价，其价格分为满分。其他供应商的价格分=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基准价/</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2.（有代位继承、转继承情形的继承公证服务）满足招标文件要求且报价最低的供应商的价格为基准价，其价格分为满分。其他供应商的价格分=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基准价/</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3.（农村宅基地房屋继承公证服务）</w:t>
            </w:r>
            <w:r>
              <w:rPr>
                <w:rFonts w:hint="eastAsia" w:ascii="宋体" w:hAnsi="宋体" w:eastAsia="宋体" w:cs="宋体"/>
                <w:color w:val="auto"/>
                <w:szCs w:val="21"/>
                <w:highlight w:val="none"/>
              </w:rPr>
              <w:t xml:space="preserve">满足招标文件要求且报价最低的供应商的价格为基准价，其价格分为满分。其他供应商的价格分=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基准价/</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w:t>
            </w:r>
            <w:r/>
          </w:p>
          <w:p>
            <w:pPr>
              <w:pStyle w:val="858"/>
              <w:ind w:firstLine="480"/>
              <w:rPr>
                <w:rFonts w:hint="eastAsia"/>
                <w:color w:val="auto"/>
                <w:highlight w:val="none"/>
              </w:rPr>
            </w:pPr>
            <w:r>
              <w:rPr>
                <w:rFonts w:hint="eastAsia"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（农村宅基地房屋</w:t>
            </w:r>
            <w:r>
              <w:rPr>
                <w:rFonts w:hint="eastAsia" w:ascii="宋体" w:hAnsi="宋体" w:eastAsia="宋体" w:cs="宋体"/>
                <w:color w:val="auto"/>
                <w:szCs w:val="21"/>
                <w:highlight w:val="none"/>
              </w:rPr>
              <w:t xml:space="preserve">有代位继承、转继承情形的继承公证服务</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满足招标文件要求且报价最低的供应商的价格为基准价，其价格分为满分。其他供应商的价格分=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基准价/</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w:t>
            </w:r>
            <w:r/>
          </w:p>
          <w:p>
            <w:pPr>
              <w:pStyle w:val="858"/>
              <w:ind w:firstLine="480"/>
              <w:rPr>
                <w:rFonts w:hint="default" w:eastAsia="宋体"/>
                <w:color w:val="auto"/>
                <w:highlight w:val="none"/>
                <w:lang w:val="en-US"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.（委托公证服务）满足招标文件要求且报价最低的供应商的价格为基准价，其价格分为满分。其他供应商的价格分=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基准价/</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p>
        </w:tc>
        <w:tc>
          <w:tcPr>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rPr>
              <w:t xml:space="preserve">分</w:t>
            </w:r>
            <w:r/>
          </w:p>
        </w:tc>
      </w:tr>
      <w:tr>
        <w:trPr>
          <w:trHeight w:val="90"/>
        </w:trPr>
        <w:tc>
          <w:tcPr>
            <w:tcW w:w="64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30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人员配置</w:t>
            </w:r>
            <w:r/>
          </w:p>
        </w:tc>
        <w:tc>
          <w:tcPr>
            <w:tcW w:w="6379" w:type="dxa"/>
            <w:vAlign w:val="center"/>
            <w:textDirection w:val="lrTb"/>
            <w:noWrap w:val="false"/>
          </w:tcPr>
          <w:p>
            <w:pPr>
              <w:numPr>
                <w:ilvl w:val="0"/>
                <w:numId w:val="0"/>
              </w:num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拟投入本项目的公证员，每配备一人得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numPr>
                <w:ilvl w:val="0"/>
                <w:numId w:val="0"/>
              </w:num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拟投入本项目的公证员助理每配备1人得1分，最高得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投标文件中</w:t>
            </w:r>
            <w:r>
              <w:rPr>
                <w:rFonts w:hint="eastAsia" w:ascii="宋体" w:hAnsi="宋体" w:eastAsia="宋体" w:cs="宋体"/>
                <w:color w:val="auto"/>
                <w:szCs w:val="21"/>
                <w:highlight w:val="none"/>
                <w:lang w:val="en-US" w:eastAsia="zh-CN"/>
              </w:rPr>
              <w:t xml:space="preserve">需</w:t>
            </w:r>
            <w:r>
              <w:rPr>
                <w:rFonts w:hint="eastAsia" w:ascii="宋体" w:hAnsi="宋体" w:eastAsia="宋体" w:cs="宋体"/>
                <w:color w:val="auto"/>
                <w:szCs w:val="21"/>
                <w:highlight w:val="none"/>
              </w:rPr>
              <w:t xml:space="preserve">提供日常承担服务任务的公证员、公证员助理执业证、注册登记地公证协会出具的证明材料扫描件。</w:t>
            </w:r>
            <w:r/>
          </w:p>
        </w:tc>
        <w:tc>
          <w:tcPr>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r>
      <w:tr>
        <w:trPr>
          <w:trHeight w:val="489"/>
        </w:trPr>
        <w:tc>
          <w:tcPr>
            <w:tcW w:w="648" w:type="dxa"/>
            <w:vAlign w:val="center"/>
            <w:textDirection w:val="lrTb"/>
            <w:noWrap w:val="false"/>
          </w:tcPr>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30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服务承诺</w:t>
            </w:r>
            <w:r/>
          </w:p>
        </w:tc>
        <w:tc>
          <w:tcPr>
            <w:tcW w:w="6379"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1.承诺服务响应时间比较。能够在收到不动产登记机构联系函后2个工作日内与当事人联系响应的得5分；5个工作日内联系响应的得3分；10个工作日内联系响应的得1分；超过10个工作日联系响应的不得分。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2.承诺服务响应方式的比较。主动联系当事人、提供预约服务的得5分；主动联系当事人，没有预约服务的得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分；需要当事人主动联系，但可提供预约服务的得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分；需要当事人主动联系，没有预约服务的，或者没有相应内容的不得分。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3.承诺与本项目相关服务单位的配合密切程度比较。建立协作机制、能够通过信息技术进行配合协作的得5分，能够保持正常配合协作的得3分，没有相关承诺的不得分。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承诺在本项目工作区域范围内有窗口或承诺成交后在本项目工作区域范围内设立窗口的得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ind w:firstLine="42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投标文件中</w:t>
            </w:r>
            <w:r>
              <w:rPr>
                <w:rFonts w:hint="eastAsia" w:ascii="宋体" w:hAnsi="宋体" w:eastAsia="宋体" w:cs="宋体"/>
                <w:color w:val="auto"/>
                <w:szCs w:val="21"/>
                <w:highlight w:val="none"/>
                <w:lang w:val="en-US" w:eastAsia="zh-CN"/>
              </w:rPr>
              <w:t xml:space="preserve">需</w:t>
            </w:r>
            <w:r>
              <w:rPr>
                <w:rFonts w:hint="eastAsia" w:ascii="宋体" w:hAnsi="宋体" w:eastAsia="宋体" w:cs="宋体"/>
                <w:color w:val="auto"/>
                <w:szCs w:val="21"/>
                <w:highlight w:val="none"/>
              </w:rPr>
              <w:t xml:space="preserve">提供</w:t>
            </w:r>
            <w:r>
              <w:rPr>
                <w:rFonts w:hint="eastAsia" w:ascii="宋体" w:hAnsi="宋体" w:eastAsia="宋体" w:cs="宋体"/>
                <w:color w:val="auto"/>
                <w:szCs w:val="21"/>
                <w:highlight w:val="none"/>
                <w:lang w:val="en-US" w:eastAsia="zh-CN"/>
              </w:rPr>
              <w:t xml:space="preserve">承诺函并加盖投标人公章，格式自拟。</w:t>
            </w:r>
            <w:r/>
          </w:p>
        </w:tc>
        <w:tc>
          <w:tcPr>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分</w:t>
            </w:r>
            <w:r/>
          </w:p>
        </w:tc>
      </w:tr>
      <w:tr>
        <w:trPr>
          <w:trHeight w:val="638"/>
        </w:trPr>
        <w:tc>
          <w:tcPr>
            <w:tcW w:w="648" w:type="dxa"/>
            <w:vAlign w:val="center"/>
            <w:textDirection w:val="lrTb"/>
            <w:noWrap w:val="false"/>
          </w:tcPr>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30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tc>
        <w:tc>
          <w:tcPr>
            <w:tcW w:w="6379" w:type="dxa"/>
            <w:vAlign w:val="center"/>
            <w:textDirection w:val="lrTb"/>
            <w:noWrap w:val="false"/>
          </w:tcPr>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2022年1月1日以来</w:t>
            </w:r>
            <w:r>
              <w:rPr>
                <w:rFonts w:hint="eastAsia" w:ascii="宋体" w:hAnsi="宋体" w:eastAsia="宋体" w:cs="宋体"/>
                <w:color w:val="auto"/>
                <w:szCs w:val="21"/>
                <w:highlight w:val="none"/>
              </w:rPr>
              <w:t xml:space="preserve">平均每年办理的（房屋等）不动产继承、受遗赠、委托公证业绩，每达到50件业务得1分，最高得5分。</w:t>
            </w:r>
            <w:r/>
          </w:p>
          <w:p>
            <w:pP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注：</w:t>
            </w:r>
            <w:r>
              <w:rPr>
                <w:rFonts w:hint="eastAsia" w:ascii="宋体" w:hAnsi="宋体" w:eastAsia="宋体" w:cs="宋体"/>
                <w:color w:val="auto"/>
                <w:szCs w:val="21"/>
                <w:highlight w:val="none"/>
              </w:rPr>
              <w:t xml:space="preserve">投标文件中</w:t>
            </w:r>
            <w:r>
              <w:rPr>
                <w:rFonts w:hint="eastAsia" w:ascii="宋体" w:hAnsi="宋体" w:eastAsia="宋体" w:cs="宋体"/>
                <w:color w:val="auto"/>
                <w:szCs w:val="21"/>
                <w:highlight w:val="none"/>
                <w:lang w:val="en-US" w:eastAsia="zh-CN"/>
              </w:rPr>
              <w:t xml:space="preserve">需</w:t>
            </w:r>
            <w:r>
              <w:rPr>
                <w:rFonts w:hint="eastAsia" w:ascii="宋体" w:hAnsi="宋体" w:eastAsia="宋体" w:cs="宋体"/>
                <w:color w:val="auto"/>
                <w:szCs w:val="21"/>
                <w:highlight w:val="none"/>
              </w:rPr>
              <w:t xml:space="preserve">提供主管部门或者行业协会认定的相关报表或者证明扫描件，不提供证明材料不得分</w:t>
            </w:r>
            <w:r>
              <w:rPr>
                <w:rFonts w:hint="eastAsia" w:ascii="宋体" w:hAnsi="宋体" w:eastAsia="宋体" w:cs="宋体"/>
                <w:color w:val="auto"/>
                <w:szCs w:val="21"/>
                <w:highlight w:val="none"/>
                <w:lang w:eastAsia="zh-CN"/>
              </w:rPr>
              <w:t xml:space="preserve">。</w:t>
            </w:r>
            <w:r/>
          </w:p>
        </w:tc>
        <w:tc>
          <w:tcPr>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w:t>
            </w:r>
            <w:r/>
          </w:p>
        </w:tc>
      </w:tr>
      <w:tr>
        <w:trPr>
          <w:trHeight w:val="4348"/>
        </w:trPr>
        <w:tc>
          <w:tcPr>
            <w:tcW w:w="64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303"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技术方案</w:t>
            </w:r>
            <w:r/>
          </w:p>
        </w:tc>
        <w:tc>
          <w:tcPr>
            <w:tcW w:w="6379"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评标委员会根据供应商</w:t>
            </w:r>
            <w:r>
              <w:rPr>
                <w:rFonts w:hint="eastAsia" w:ascii="宋体" w:hAnsi="宋体" w:eastAsia="宋体" w:cs="宋体"/>
                <w:color w:val="auto"/>
                <w:szCs w:val="21"/>
                <w:highlight w:val="none"/>
              </w:rPr>
              <w:t xml:space="preserve">与本项目相关服务单位的配合密切程度</w:t>
            </w:r>
            <w:r>
              <w:rPr>
                <w:rFonts w:hint="eastAsia" w:ascii="宋体" w:hAnsi="宋体" w:eastAsia="宋体" w:cs="宋体"/>
                <w:color w:val="auto"/>
                <w:szCs w:val="21"/>
                <w:highlight w:val="none"/>
                <w:lang w:val="en-US" w:eastAsia="zh-CN"/>
              </w:rPr>
              <w:t xml:space="preserve">方案进行评审：</w:t>
            </w:r>
            <w:r>
              <w:rPr>
                <w:rFonts w:hint="eastAsia" w:ascii="宋体" w:hAnsi="宋体" w:eastAsia="宋体" w:cs="宋体"/>
                <w:color w:val="auto"/>
                <w:szCs w:val="21"/>
                <w:highlight w:val="none"/>
              </w:rPr>
              <w:t xml:space="preserve">与不动产登记机构建立正常沟通协调机制的得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分；与不动产登记机构有联系但未形成工作机制的得4分</w:t>
            </w:r>
            <w:r>
              <w:rPr>
                <w:rFonts w:hint="eastAsia" w:ascii="宋体" w:hAnsi="宋体" w:eastAsia="宋体" w:cs="宋体"/>
                <w:color w:val="auto"/>
                <w:szCs w:val="21"/>
                <w:highlight w:val="none"/>
              </w:rPr>
            </w:r>
            <w:r>
              <w:rPr>
                <w:rFonts w:ascii="SimSun" w:hAnsi="SimSun" w:eastAsia="SimSun" w:cs="SimSun"/>
                <w:color w:val="000000"/>
                <w:sz w:val="21"/>
              </w:rPr>
              <w:t xml:space="preserve">；与不动产登记机构缺乏联系沟通的得2分；没有方案的不得分。</w:t>
            </w:r>
            <w:r/>
            <w:r>
              <w:rPr>
                <w:rFonts w:hint="eastAsia" w:ascii="宋体" w:hAnsi="宋体" w:eastAsia="宋体" w:cs="宋体"/>
                <w:color w:val="auto"/>
                <w:szCs w:val="21"/>
                <w:highlight w:val="none"/>
              </w:rPr>
            </w:r>
            <w:r/>
            <w:r/>
            <w:r>
              <w:rPr>
                <w:sz w:val="21"/>
              </w:rPr>
            </w:r>
          </w:p>
          <w:p>
            <w:pPr>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评标委员会根据供应商提供的服务方案进行评审：</w:t>
            </w:r>
            <w:r>
              <w:rPr>
                <w:rFonts w:hint="eastAsia" w:ascii="宋体" w:hAnsi="宋体" w:eastAsia="宋体" w:cs="宋体"/>
                <w:color w:val="auto"/>
                <w:szCs w:val="21"/>
                <w:highlight w:val="none"/>
              </w:rPr>
              <w:t xml:space="preserve">服务方案科学完善的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分，服务方案</w:t>
            </w:r>
            <w:r>
              <w:rPr>
                <w:rFonts w:hint="eastAsia" w:ascii="宋体" w:hAnsi="宋体" w:eastAsia="宋体" w:cs="宋体"/>
                <w:color w:val="auto"/>
                <w:szCs w:val="21"/>
                <w:highlight w:val="none"/>
                <w:lang w:val="en-US" w:eastAsia="zh-CN"/>
              </w:rPr>
              <w:t xml:space="preserve">能满足本次采购基本需求的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服务方案不够完善的得1分；</w:t>
            </w:r>
            <w:r>
              <w:rPr>
                <w:rFonts w:hint="eastAsia" w:ascii="宋体" w:hAnsi="宋体" w:eastAsia="宋体" w:cs="宋体"/>
                <w:color w:val="auto"/>
                <w:szCs w:val="21"/>
                <w:highlight w:val="none"/>
              </w:rPr>
              <w:t xml:space="preserve">没有方案的不得分。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.内部组织机构、内部工作流程</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机构健全、流程科学合理的得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组织机构和内部工作流程较完善的得3分；</w:t>
            </w:r>
            <w:r>
              <w:rPr>
                <w:rFonts w:hint="eastAsia" w:ascii="宋体" w:hAnsi="宋体" w:eastAsia="宋体" w:cs="宋体"/>
                <w:color w:val="auto"/>
                <w:szCs w:val="21"/>
                <w:highlight w:val="none"/>
              </w:rPr>
              <w:t xml:space="preserve">有组织机构但流程、分工</w:t>
            </w:r>
            <w:r>
              <w:rPr>
                <w:rFonts w:hint="eastAsia" w:ascii="宋体" w:hAnsi="宋体" w:eastAsia="宋体" w:cs="宋体"/>
                <w:color w:val="auto"/>
                <w:szCs w:val="21"/>
                <w:highlight w:val="none"/>
                <w:lang w:val="en-US" w:eastAsia="zh-CN"/>
              </w:rPr>
              <w:t xml:space="preserve">不够</w:t>
            </w:r>
            <w:r>
              <w:rPr>
                <w:rFonts w:hint="eastAsia" w:ascii="宋体" w:hAnsi="宋体" w:eastAsia="宋体" w:cs="宋体"/>
                <w:color w:val="auto"/>
                <w:szCs w:val="21"/>
                <w:highlight w:val="none"/>
              </w:rPr>
              <w:t xml:space="preserve">完善的得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分；没有相关材料的不得分。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.内部质量控制制度、内部业务档案管理制度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制度健全得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制度较完善的得3分；</w:t>
            </w:r>
            <w:r>
              <w:rPr>
                <w:rFonts w:hint="eastAsia" w:ascii="宋体" w:hAnsi="宋体" w:eastAsia="宋体" w:cs="宋体"/>
                <w:color w:val="auto"/>
                <w:szCs w:val="21"/>
                <w:highlight w:val="none"/>
              </w:rPr>
              <w:t xml:space="preserve">有制度但</w:t>
            </w:r>
            <w:r>
              <w:rPr>
                <w:rFonts w:hint="eastAsia" w:ascii="宋体" w:hAnsi="宋体" w:eastAsia="宋体" w:cs="宋体"/>
                <w:color w:val="auto"/>
                <w:szCs w:val="21"/>
                <w:highlight w:val="none"/>
                <w:lang w:val="en-US" w:eastAsia="zh-CN"/>
              </w:rPr>
              <w:t xml:space="preserve">不够</w:t>
            </w:r>
            <w:r>
              <w:rPr>
                <w:rFonts w:hint="eastAsia" w:ascii="宋体" w:hAnsi="宋体" w:eastAsia="宋体" w:cs="宋体"/>
                <w:color w:val="auto"/>
                <w:szCs w:val="21"/>
                <w:highlight w:val="none"/>
              </w:rPr>
              <w:t xml:space="preserve">完善</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分；没有制度的不得分。</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.内部人事管理制度、内部财务管理制度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制度健全得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制度较完善的得3分；</w:t>
            </w:r>
            <w:r>
              <w:rPr>
                <w:rFonts w:hint="eastAsia" w:ascii="宋体" w:hAnsi="宋体" w:eastAsia="宋体" w:cs="宋体"/>
                <w:color w:val="auto"/>
                <w:szCs w:val="21"/>
                <w:highlight w:val="none"/>
              </w:rPr>
              <w:t xml:space="preserve">有制度但不完善得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分；没有制度的不得分。</w:t>
            </w:r>
            <w:r/>
          </w:p>
        </w:tc>
        <w:tc>
          <w:tcPr>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26</w:t>
            </w:r>
            <w:r>
              <w:rPr>
                <w:rFonts w:hint="eastAsia" w:ascii="宋体" w:hAnsi="宋体" w:eastAsia="宋体" w:cs="宋体"/>
                <w:color w:val="auto"/>
                <w:szCs w:val="21"/>
                <w:highlight w:val="none"/>
              </w:rPr>
              <w:t xml:space="preserve">分</w:t>
            </w:r>
            <w:r/>
          </w:p>
        </w:tc>
      </w:tr>
    </w:tbl>
    <w:p>
      <w:pPr>
        <w:pStyle w:val="865"/>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每部分的得分保留小数点后两位，合计得分保留小数点后两位。</w:t>
      </w:r>
      <w:r/>
    </w:p>
    <w:p>
      <w:pPr>
        <w:pStyle w:val="865"/>
        <w:numPr>
          <w:ilvl w:val="0"/>
          <w:numId w:val="0"/>
        </w:numPr>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highlight w:val="none"/>
        </w:rPr>
        <w:t xml:space="preserve">所有提供的材料复印件应清晰。若证明材料复印件因模糊等原因，导致评标专家无法判定，最终造成得分不</w:t>
      </w:r>
      <w:r>
        <w:rPr>
          <w:rFonts w:hint="eastAsia" w:ascii="宋体" w:hAnsi="宋体" w:eastAsia="宋体" w:cs="宋体"/>
          <w:color w:val="auto"/>
          <w:highlight w:val="none"/>
          <w:lang w:eastAsia="zh-CN"/>
        </w:rPr>
        <w:t xml:space="preserve">予</w:t>
      </w:r>
      <w:r>
        <w:rPr>
          <w:rFonts w:hint="eastAsia" w:ascii="宋体" w:hAnsi="宋体" w:eastAsia="宋体" w:cs="宋体"/>
          <w:color w:val="auto"/>
          <w:highlight w:val="none"/>
        </w:rPr>
        <w:t xml:space="preserve">计取的后果由投标供应商自行承担。</w:t>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ind w:left="0" w:firstLine="880"/>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jc w:val="center"/>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r/>
    </w:p>
    <w:p>
      <w:pPr>
        <w:pStyle w:val="865"/>
        <w:numPr>
          <w:ilvl w:val="0"/>
          <w:numId w:val="0"/>
        </w:numPr>
        <w:jc w:val="center"/>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jc w:val="center"/>
        <w:keepLines w:val="0"/>
        <w:keepNext w:val="0"/>
        <w:pageBreakBefore w:val="0"/>
        <w:spacing w:beforeAutospacing="0" w:afterAutospacing="0" w:line="48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5"/>
        <w:numPr>
          <w:ilvl w:val="0"/>
          <w:numId w:val="0"/>
        </w:numPr>
        <w:jc w:val="center"/>
        <w:keepLines w:val="0"/>
        <w:keepNext w:val="0"/>
        <w:pageBreakBefore w:val="0"/>
        <w:spacing w:beforeAutospacing="0" w:afterAutospacing="0" w:line="480" w:lineRule="exact"/>
        <w:widowControl w:val="off"/>
        <w:rPr>
          <w:color w:val="auto"/>
          <w:highlight w:val="none"/>
        </w:rPr>
      </w:pPr>
      <w:r>
        <w:rPr>
          <w:rFonts w:hint="eastAsia" w:ascii="黑体" w:hAnsi="宋体" w:eastAsia="黑体" w:cs="黑体"/>
          <w:color w:val="auto"/>
          <w:sz w:val="44"/>
          <w:szCs w:val="44"/>
          <w:highlight w:val="none"/>
        </w:rPr>
        <w:t xml:space="preserve">第六章  投标文件格式</w:t>
      </w:r>
      <w:r/>
    </w:p>
    <w:p>
      <w:pPr>
        <w:pStyle w:val="865"/>
        <w:jc w:val="center"/>
        <w:spacing w:beforeAutospacing="0" w:afterAutospacing="0"/>
        <w:rPr>
          <w:rFonts w:hint="eastAsia" w:ascii="宋体" w:hAnsi="宋体" w:eastAsia="宋体" w:cs="宋体"/>
          <w:b/>
          <w:color w:val="auto"/>
          <w:sz w:val="72"/>
          <w:szCs w:val="72"/>
          <w:highlight w:val="none"/>
        </w:rPr>
      </w:pPr>
      <w:r/>
      <w:bookmarkStart w:id="181" w:name="_Hlt26671244"/>
      <w:r/>
      <w:bookmarkEnd w:id="181"/>
      <w:r/>
      <w:bookmarkStart w:id="182" w:name="_Toc26554094"/>
      <w:r/>
      <w:bookmarkEnd w:id="182"/>
      <w:r/>
      <w:bookmarkStart w:id="183" w:name="_Hlt26955039"/>
      <w:r/>
      <w:bookmarkEnd w:id="183"/>
      <w:r/>
      <w:bookmarkStart w:id="184" w:name="_Toc120614282"/>
      <w:r/>
      <w:bookmarkStart w:id="185" w:name="_Toc49090576"/>
      <w:r/>
      <w:r/>
    </w:p>
    <w:p>
      <w:pPr>
        <w:pStyle w:val="86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jc w:val="center"/>
        <w:spacing w:beforeAutospacing="0" w:afterAutospacing="0"/>
        <w:rPr>
          <w:color w:val="auto"/>
          <w:highlight w:val="none"/>
        </w:rPr>
      </w:pPr>
      <w:r>
        <w:rPr>
          <w:color w:val="auto"/>
          <w:highlight w:val="none"/>
        </w:rPr>
        <w:t xml:space="preserve"> </w:t>
      </w:r>
      <w:r/>
    </w:p>
    <w:p>
      <w:pPr>
        <w:pStyle w:val="8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8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both"/>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二、上一年度或上上年度的财务状况报表（至少提供资产负债表、利润表、现金流量表，投标人成立不满一年无需提供）</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5"/>
        <w:ind w:left="0" w:firstLine="480"/>
        <w:jc w:val="both"/>
        <w:keepLines w:val="0"/>
        <w:keepNext w:val="0"/>
        <w:pageBreakBefore w:val="0"/>
        <w:spacing w:beforeAutospacing="0" w:afterAutospacing="0" w:line="48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六、供应商法定代表人身份证明和</w:t>
      </w:r>
      <w:r>
        <w:rPr>
          <w:rFonts w:hint="eastAsia" w:ascii="宋体" w:hAnsi="宋体" w:eastAsia="宋体" w:cs="宋体"/>
          <w:i w:val="0"/>
          <w:iCs/>
          <w:color w:val="auto"/>
          <w:highlight w:val="none"/>
          <w:u w:val="none"/>
          <w:lang w:eastAsia="zh-CN"/>
        </w:rPr>
        <w:t xml:space="preserve">投标文件</w:t>
      </w:r>
      <w:r>
        <w:rPr>
          <w:rFonts w:hint="eastAsia" w:ascii="宋体" w:hAnsi="宋体" w:eastAsia="宋体" w:cs="宋体"/>
          <w:i w:val="0"/>
          <w:iCs/>
          <w:color w:val="auto"/>
          <w:highlight w:val="none"/>
          <w:u w:val="none"/>
        </w:rPr>
        <w:t xml:space="preserve">签署授权委托书（另附法定代表人和被授权人的身份证复印件）</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七、供应商为被授权人缴纳的社会养老保险证明</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八、公证机构执业许可证书</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十一、残疾人福利性单位声明函</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、投标报价表</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、盐城市政府采购事前信用承诺书</w:t>
      </w:r>
      <w:r/>
    </w:p>
    <w:p>
      <w:pPr>
        <w:pStyle w:val="865"/>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、与评审有关的其他资料</w:t>
      </w:r>
      <w:r/>
    </w:p>
    <w:p>
      <w:pPr>
        <w:pStyle w:val="8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ind w:firstLine="480"/>
        <w:jc w:val="both"/>
        <w:spacing w:beforeAutospacing="0" w:afterAutospacing="0" w:line="0" w:lineRule="atLeast"/>
        <w:rPr>
          <w:color w:val="auto"/>
          <w:highlight w:val="none"/>
        </w:rPr>
      </w:pPr>
      <w:r>
        <w:rPr>
          <w:color w:val="auto"/>
          <w:highlight w:val="none"/>
        </w:rPr>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5"/>
        <w:ind w:firstLine="480"/>
        <w:jc w:val="both"/>
        <w:spacing w:beforeAutospacing="0" w:afterAutospacing="0" w:line="0" w:lineRule="atLeast"/>
        <w:rPr>
          <w:color w:val="auto"/>
          <w:highlight w:val="none"/>
        </w:rPr>
      </w:pPr>
      <w:r>
        <w:rPr>
          <w:color w:val="auto"/>
          <w:highlight w:val="none"/>
        </w:rPr>
        <w:t xml:space="preserve"> </w:t>
      </w:r>
      <w:r/>
    </w:p>
    <w:p>
      <w:pPr>
        <w:pStyle w:val="865"/>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8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5"/>
        <w:ind w:firstLine="480"/>
        <w:jc w:val="both"/>
        <w:spacing w:beforeAutospacing="0" w:afterAutospacing="0"/>
        <w:rPr>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8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5"/>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5"/>
        <w:jc w:val="both"/>
        <w:spacing w:beforeAutospacing="0" w:afterAutospacing="0"/>
        <w:rPr>
          <w:color w:val="auto"/>
          <w:highlight w:val="none"/>
        </w:rPr>
      </w:pPr>
      <w:r>
        <w:rPr>
          <w:color w:val="auto"/>
          <w:highlight w:val="none"/>
        </w:rPr>
        <w:t xml:space="preserve"> </w:t>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bCs/>
          <w:i/>
          <w:color w:val="auto"/>
          <w:sz w:val="32"/>
          <w:szCs w:val="32"/>
          <w:highlight w:val="none"/>
          <w:u w:val="single"/>
        </w:rPr>
      </w:r>
      <w:r>
        <w:rPr>
          <w:rFonts w:hint="eastAsia" w:ascii="黑体" w:hAnsi="宋体" w:eastAsia="黑体" w:cs="黑体"/>
          <w:bCs/>
          <w:i/>
          <w:color w:val="auto"/>
          <w:sz w:val="32"/>
          <w:szCs w:val="32"/>
          <w:highlight w:val="none"/>
          <w:u w:val="single"/>
        </w:rPr>
      </w:r>
      <w:r/>
    </w:p>
    <w:p>
      <w:pPr>
        <w:pStyle w:val="86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5"/>
        <w:jc w:val="both"/>
        <w:spacing w:beforeAutospacing="0" w:afterAutospacing="0"/>
        <w:rPr>
          <w:rFonts w:hint="eastAsia" w:ascii="宋体" w:hAnsi="宋体" w:eastAsia="宋体" w:cs="宋体"/>
          <w:color w:val="auto"/>
          <w:highlight w:val="none"/>
        </w:rPr>
      </w:pPr>
      <w:r/>
      <w:bookmarkStart w:id="187" w:name="_Hlt26955070"/>
      <w:r/>
      <w:bookmarkStart w:id="188" w:name="_格式3__银行出具的资信证明"/>
      <w:r/>
      <w:bookmarkStart w:id="189" w:name="_Hlt26671380"/>
      <w:r>
        <w:rPr>
          <w:rFonts w:hint="eastAsia" w:ascii="宋体" w:hAnsi="宋体" w:eastAsia="宋体" w:cs="宋体"/>
          <w:i/>
          <w:color w:val="auto"/>
          <w:sz w:val="32"/>
          <w:szCs w:val="32"/>
          <w:highlight w:val="none"/>
          <w:u w:val="single"/>
        </w:rPr>
        <w:t xml:space="preserve">六、</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rPr>
          <w:rFonts w:hint="eastAsia" w:ascii="宋体" w:hAnsi="宋体" w:eastAsia="宋体" w:cs="宋体"/>
          <w:color w:val="auto"/>
          <w:sz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865"/>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八、</w:t>
      </w:r>
      <w:r>
        <w:rPr>
          <w:rFonts w:hint="eastAsia" w:ascii="黑体" w:hAnsi="宋体" w:eastAsia="黑体" w:cs="黑体"/>
          <w:b/>
          <w:color w:val="auto"/>
          <w:sz w:val="32"/>
          <w:szCs w:val="32"/>
          <w:highlight w:val="none"/>
        </w:rPr>
        <w:t xml:space="preserve">公证机构执业许可证书</w:t>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865"/>
        <w:numPr>
          <w:ilvl w:val="0"/>
          <w:numId w:val="0"/>
        </w:numPr>
        <w:jc w:val="center"/>
        <w:spacing w:beforeAutospacing="0" w:afterAutospacing="0" w:line="0" w:lineRule="atLeast"/>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 xml:space="preserve">九、</w:t>
      </w:r>
      <w:r>
        <w:rPr>
          <w:rFonts w:hint="eastAsia" w:ascii="黑体" w:hAnsi="宋体" w:eastAsia="黑体" w:cs="黑体"/>
          <w:b/>
          <w:color w:val="auto"/>
          <w:sz w:val="32"/>
          <w:szCs w:val="32"/>
          <w:highlight w:val="none"/>
        </w:rPr>
        <w:t xml:space="preserve">投标函</w:t>
      </w:r>
      <w:r/>
    </w:p>
    <w:p>
      <w:pPr>
        <w:pStyle w:val="865"/>
        <w:keepLines w:val="0"/>
        <w:keepNext w:val="0"/>
        <w:pageBreakBefore w:val="0"/>
        <w:spacing w:beforeAutospacing="0" w:afterAutospacing="0" w:line="48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rPr>
        <w:t xml:space="preserve">招标文件，正式授权下述签字人______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865"/>
        <w:ind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地          址：</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邮          编：</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电          话：</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传          真：</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账          号： </w:t>
      </w:r>
      <w:r/>
    </w:p>
    <w:p>
      <w:pPr>
        <w:pStyle w:val="865"/>
        <w:ind w:left="420" w:firstLine="480"/>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t xml:space="preserve"> </w:t>
      </w:r>
      <w:r/>
    </w:p>
    <w:p>
      <w:pPr>
        <w:pStyle w:val="865"/>
        <w:ind w:firstLine="240"/>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（采购人名称） </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5"/>
        <w:ind w:right="72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right="180" w:firstLine="360"/>
        <w:jc w:val="right"/>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865"/>
        <w:ind w:right="480" w:firstLine="540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w:t>
      </w:r>
      <w:r/>
    </w:p>
    <w:p>
      <w:pPr>
        <w:pStyle w:val="865"/>
        <w:ind w:firstLine="24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、残疾人福利性单位声明函（分包号：**）</w:t>
      </w:r>
      <w:r/>
    </w:p>
    <w:p>
      <w:pPr>
        <w:pStyle w:val="865"/>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5"/>
        <w:ind w:firstLine="48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firstLine="480"/>
        <w:jc w:val="both"/>
        <w:keepLines w:val="0"/>
        <w:keepNext w:val="0"/>
        <w:pageBreakBefore w:val="0"/>
        <w:spacing w:beforeAutospacing="0" w:afterAutospacing="0" w:line="48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6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865"/>
        <w:ind w:firstLine="624"/>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865"/>
        <w:ind w:right="1560" w:firstLine="624"/>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5"/>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65"/>
        <w:ind w:right="1560" w:firstLine="480"/>
        <w:jc w:val="center"/>
        <w:keepLines w:val="0"/>
        <w:keepNext w:val="0"/>
        <w:pageBreakBefore w:val="0"/>
        <w:spacing w:beforeAutospacing="0" w:afterAutospacing="0" w:line="48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t xml:space="preserve"> </w:t>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color w:val="auto"/>
          <w:highlight w:val="none"/>
        </w:rPr>
      </w:pPr>
      <w:r>
        <w:rPr>
          <w:color w:val="auto"/>
          <w:highlight w:val="none"/>
        </w:rPr>
      </w:r>
      <w:r/>
    </w:p>
    <w:p>
      <w:pPr>
        <w:pStyle w:val="865"/>
        <w:jc w:val="center"/>
        <w:spacing w:beforeAutospacing="0" w:afterAutospacing="0" w:line="0" w:lineRule="atLeast"/>
        <w:rPr>
          <w:rFonts w:hint="default"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w:t>
      </w:r>
      <w:bookmarkStart w:id="190" w:name="_Hlt26955054"/>
      <w:r/>
      <w:bookmarkStart w:id="191" w:name="_Toc462564146"/>
      <w:r/>
      <w:bookmarkStart w:id="192" w:name="_Hlt26609389"/>
      <w:r/>
      <w:bookmarkStart w:id="193" w:name="_Hlt26671374"/>
      <w:r/>
      <w:bookmarkStart w:id="194" w:name="_格式2__法定代表人授权书"/>
      <w:r/>
      <w:bookmarkStart w:id="195" w:name="_Hlt26955066"/>
      <w:r>
        <w:rPr>
          <w:rFonts w:hint="eastAsia" w:ascii="黑体" w:hAnsi="宋体" w:eastAsia="黑体" w:cs="黑体"/>
          <w:b/>
          <w:color w:val="auto"/>
          <w:sz w:val="32"/>
          <w:szCs w:val="32"/>
          <w:highlight w:val="none"/>
          <w:lang w:val="en-US" w:eastAsia="zh-CN"/>
        </w:rPr>
        <w:t xml:space="preserve">投标报价表</w:t>
      </w:r>
      <w:r/>
    </w:p>
    <w:p>
      <w:pPr>
        <w:pStyle w:val="86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86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86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包</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4924"/>
        <w:gridCol w:w="925"/>
        <w:gridCol w:w="1583"/>
      </w:tblGrid>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w:t>
            </w:r>
            <w:r/>
          </w:p>
        </w:tc>
      </w:tr>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正常继承公证服务</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有代位继承、转继承情形的继承公证服务</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4924"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农村宅基地房屋正常继承公证服务</w:t>
            </w:r>
            <w:r/>
          </w:p>
        </w:tc>
        <w:tc>
          <w:tcPr>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农村宅基地房屋</w:t>
            </w:r>
            <w:r>
              <w:rPr>
                <w:rFonts w:hint="eastAsia" w:ascii="宋体" w:hAnsi="宋体" w:eastAsia="宋体" w:cs="宋体"/>
                <w:color w:val="auto"/>
                <w:sz w:val="24"/>
                <w:szCs w:val="24"/>
                <w:highlight w:val="none"/>
                <w:lang w:val="en-US" w:eastAsia="zh-CN"/>
              </w:rPr>
              <w:t xml:space="preserve">有转继承、代位继承</w:t>
            </w:r>
            <w:r>
              <w:rPr>
                <w:rFonts w:hint="eastAsia" w:ascii="宋体" w:hAnsi="宋体" w:eastAsia="宋体" w:cs="宋体"/>
                <w:color w:val="auto"/>
                <w:sz w:val="24"/>
                <w:szCs w:val="24"/>
                <w:highlight w:val="none"/>
                <w:lang w:val="en-US" w:eastAsia="zh-CN" w:bidi="ar-SA"/>
              </w:rPr>
              <w:t xml:space="preserve">公证服务</w:t>
            </w:r>
            <w:r/>
          </w:p>
        </w:tc>
        <w:tc>
          <w:tcPr>
            <w:shd w:val="clear" w:color="auto" w:fill="auto"/>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shd w:val="clear" w:color="auto" w:fill="auto"/>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r>
        <w:trPr>
          <w:jc w:val="center"/>
          <w:trHeight w:val="516"/>
        </w:trPr>
        <w:tc>
          <w:tcPr>
            <w:tcW w:w="70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492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委托公证服务</w:t>
            </w:r>
            <w:r/>
          </w:p>
        </w:tc>
        <w:tc>
          <w:tcPr>
            <w:shd w:val="clear" w:color="auto" w:fill="auto"/>
            <w:tcW w:w="9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件</w:t>
            </w:r>
            <w:r/>
          </w:p>
        </w:tc>
        <w:tc>
          <w:tcPr>
            <w:shd w:val="clear" w:color="auto" w:fill="auto"/>
            <w:tcW w:w="1583"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元</w:t>
            </w:r>
            <w:r/>
          </w:p>
        </w:tc>
      </w:tr>
    </w:tbl>
    <w:p>
      <w:pPr>
        <w:pStyle w:val="865"/>
        <w:jc w:val="left"/>
        <w:keepLines w:val="0"/>
        <w:keepNext w:val="0"/>
        <w:pageBreakBefore w:val="0"/>
        <w:spacing w:beforeAutospacing="0" w:afterAutospacing="0"/>
        <w:widowControl w:val="off"/>
        <w:rPr>
          <w:rFonts w:hint="eastAsia" w:ascii="宋体" w:hAnsi="宋体" w:eastAsia="宋体" w:cs="宋体"/>
          <w:color w:val="auto"/>
          <w:highlight w:val="none"/>
        </w:rPr>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color w:val="auto"/>
          <w:highlight w:val="none"/>
        </w:rPr>
        <w:t xml:space="preserve">注：①报价中包括人工、设备、加班费、耗材、成果出具、后续服务、代理服务费、税费等全部项目的</w:t>
      </w:r>
      <w:r>
        <w:rPr>
          <w:rFonts w:hint="eastAsia" w:ascii="宋体" w:hAnsi="宋体" w:eastAsia="宋体" w:cs="宋体"/>
          <w:color w:val="auto"/>
          <w:highlight w:val="none"/>
          <w:lang w:val="en-US" w:eastAsia="zh-CN"/>
        </w:rPr>
        <w:t xml:space="preserve">费用。②“苏采云”系统内附带的报价表仅支持填写1个报价，各投标人在该表中须填写正常继承公证服务报价，其余报价须上传至商务分部份。</w:t>
      </w:r>
      <w:r>
        <w:rPr>
          <w:rFonts w:hint="eastAsia" w:ascii="宋体" w:hAnsi="宋体" w:eastAsia="宋体" w:cs="宋体"/>
          <w:color w:val="auto"/>
          <w:highlight w:val="none"/>
        </w:rPr>
        <w:t xml:space="preserve">     </w:t>
      </w:r>
      <w:r/>
    </w:p>
    <w:p>
      <w:pPr>
        <w:pStyle w:val="8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ind w:firstLine="3902"/>
        <w:jc w:val="both"/>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5"/>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rPr>
          <w:color w:val="auto"/>
          <w:highlight w:val="none"/>
        </w:rPr>
      </w:r>
      <w:r/>
    </w:p>
    <w:p>
      <w:pPr>
        <w:jc w:val="center"/>
        <w:spacing w:before="50" w:after="50"/>
        <w:widowControl/>
        <w:rPr>
          <w:color w:val="auto"/>
          <w:highlight w:val="none"/>
        </w:rPr>
      </w:pPr>
      <w:r>
        <w:rPr>
          <w:color w:val="auto"/>
          <w:highlight w:val="none"/>
        </w:rPr>
      </w: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w:t>
      </w:r>
      <w:r>
        <w:rPr>
          <w:rFonts w:hint="eastAsia" w:ascii="宋体" w:hAnsi="宋体" w:eastAsia="宋体" w:cs="宋体"/>
          <w:color w:val="auto"/>
          <w:sz w:val="24"/>
          <w:highlight w:val="none"/>
          <w:lang w:val="en-US" w:eastAsia="zh-CN"/>
        </w:rPr>
        <w:t xml:space="preserve">名或</w:t>
      </w:r>
      <w:r>
        <w:rPr>
          <w:rFonts w:hint="eastAsia" w:ascii="宋体" w:hAnsi="宋体" w:eastAsia="宋体" w:cs="宋体"/>
          <w:color w:val="auto"/>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65"/>
        <w:jc w:val="center"/>
        <w:spacing w:beforeAutospacing="0" w:afterAutospacing="0"/>
        <w:rPr>
          <w:color w:val="auto"/>
          <w:highlight w:val="none"/>
        </w:rPr>
      </w:pPr>
      <w:r>
        <w:rPr>
          <w:color w:val="auto"/>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4"/>
      <w:r/>
      <w:bookmarkEnd w:id="185"/>
      <w:r/>
      <w:bookmarkEnd w:id="187"/>
      <w:r/>
      <w:bookmarkEnd w:id="188"/>
      <w:r/>
      <w:bookmarkEnd w:id="189"/>
      <w:r/>
      <w:bookmarkEnd w:id="190"/>
      <w:r/>
      <w:bookmarkEnd w:id="191"/>
      <w:r/>
      <w:bookmarkEnd w:id="192"/>
      <w:r/>
      <w:bookmarkEnd w:id="193"/>
      <w:r/>
      <w:bookmarkEnd w:id="194"/>
      <w:r/>
      <w:bookmarkEnd w:id="195"/>
      <w:r/>
      <w:r/>
    </w:p>
    <w:p>
      <w:pPr>
        <w:rPr>
          <w:color w:val="auto"/>
          <w:highlight w:val="none"/>
        </w:rPr>
      </w:pPr>
      <w:r>
        <w:rPr>
          <w:color w:val="auto"/>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十四、</w:t>
      </w:r>
      <w:r>
        <w:rPr>
          <w:rFonts w:hint="eastAsia" w:ascii="宋体" w:hAnsi="宋体" w:eastAsia="宋体" w:cs="宋体"/>
          <w:b/>
          <w:bCs/>
          <w:color w:val="auto"/>
          <w:sz w:val="32"/>
          <w:szCs w:val="32"/>
          <w:highlight w:val="none"/>
        </w:rPr>
        <w:t xml:space="preserve">与评审有关的其他资料</w:t>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5"/>
        <w:numPr>
          <w:ilvl w:val="0"/>
          <w:numId w:val="0"/>
        </w:numPr>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5"/>
        <w:jc w:val="both"/>
        <w:keepLines w:val="0"/>
        <w:keepNext w:val="0"/>
        <w:pageBreakBefore w:val="0"/>
        <w:spacing w:before="290"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5"/>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865"/>
        <w:jc w:val="both"/>
        <w:keepLines w:val="0"/>
        <w:keepNext w:val="0"/>
        <w:pageBreakBefore w:val="0"/>
        <w:spacing w:beforeAutospacing="0" w:afterAutospacing="0" w:line="48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5"/>
        <w:ind w:firstLine="480"/>
        <w:keepLines w:val="0"/>
        <w:keepNext w:val="0"/>
        <w:pageBreakBefore w:val="0"/>
        <w:spacing w:beforeAutospacing="0" w:afterAutospacing="0" w:line="48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4"/>
    <w:next w:val="854"/>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6"/>
    <w:link w:val="679"/>
    <w:uiPriority w:val="9"/>
    <w:rPr>
      <w:rFonts w:ascii="Arial" w:hAnsi="Arial" w:eastAsia="Arial" w:cs="Arial"/>
      <w:sz w:val="40"/>
      <w:szCs w:val="40"/>
    </w:rPr>
  </w:style>
  <w:style w:type="character" w:styleId="681">
    <w:name w:val="Heading 2 Char"/>
    <w:basedOn w:val="856"/>
    <w:link w:val="855"/>
    <w:uiPriority w:val="9"/>
    <w:rPr>
      <w:rFonts w:ascii="Arial" w:hAnsi="Arial" w:eastAsia="Arial" w:cs="Arial"/>
      <w:sz w:val="34"/>
    </w:rPr>
  </w:style>
  <w:style w:type="paragraph" w:styleId="682">
    <w:name w:val="Heading 3"/>
    <w:basedOn w:val="854"/>
    <w:next w:val="854"/>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6"/>
    <w:link w:val="682"/>
    <w:uiPriority w:val="9"/>
    <w:rPr>
      <w:rFonts w:ascii="Arial" w:hAnsi="Arial" w:eastAsia="Arial" w:cs="Arial"/>
      <w:sz w:val="30"/>
      <w:szCs w:val="30"/>
    </w:rPr>
  </w:style>
  <w:style w:type="paragraph" w:styleId="684">
    <w:name w:val="Heading 4"/>
    <w:basedOn w:val="854"/>
    <w:next w:val="85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6"/>
    <w:link w:val="684"/>
    <w:uiPriority w:val="9"/>
    <w:rPr>
      <w:rFonts w:ascii="Arial" w:hAnsi="Arial" w:eastAsia="Arial" w:cs="Arial"/>
      <w:b/>
      <w:bCs/>
      <w:sz w:val="26"/>
      <w:szCs w:val="26"/>
    </w:rPr>
  </w:style>
  <w:style w:type="paragraph" w:styleId="686">
    <w:name w:val="Heading 5"/>
    <w:basedOn w:val="854"/>
    <w:next w:val="854"/>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6"/>
    <w:link w:val="686"/>
    <w:uiPriority w:val="9"/>
    <w:rPr>
      <w:rFonts w:ascii="Arial" w:hAnsi="Arial" w:eastAsia="Arial" w:cs="Arial"/>
      <w:b/>
      <w:bCs/>
      <w:sz w:val="24"/>
      <w:szCs w:val="24"/>
    </w:rPr>
  </w:style>
  <w:style w:type="paragraph" w:styleId="688">
    <w:name w:val="Heading 6"/>
    <w:basedOn w:val="854"/>
    <w:next w:val="854"/>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6"/>
    <w:link w:val="688"/>
    <w:uiPriority w:val="9"/>
    <w:rPr>
      <w:rFonts w:ascii="Arial" w:hAnsi="Arial" w:eastAsia="Arial" w:cs="Arial"/>
      <w:b/>
      <w:bCs/>
      <w:sz w:val="22"/>
      <w:szCs w:val="22"/>
    </w:rPr>
  </w:style>
  <w:style w:type="paragraph" w:styleId="690">
    <w:name w:val="Heading 7"/>
    <w:basedOn w:val="854"/>
    <w:next w:val="854"/>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6"/>
    <w:link w:val="690"/>
    <w:uiPriority w:val="9"/>
    <w:rPr>
      <w:rFonts w:ascii="Arial" w:hAnsi="Arial" w:eastAsia="Arial" w:cs="Arial"/>
      <w:b/>
      <w:bCs/>
      <w:i/>
      <w:iCs/>
      <w:sz w:val="22"/>
      <w:szCs w:val="22"/>
    </w:rPr>
  </w:style>
  <w:style w:type="paragraph" w:styleId="692">
    <w:name w:val="Heading 8"/>
    <w:basedOn w:val="854"/>
    <w:next w:val="854"/>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6"/>
    <w:link w:val="692"/>
    <w:uiPriority w:val="9"/>
    <w:rPr>
      <w:rFonts w:ascii="Arial" w:hAnsi="Arial" w:eastAsia="Arial" w:cs="Arial"/>
      <w:i/>
      <w:iCs/>
      <w:sz w:val="22"/>
      <w:szCs w:val="22"/>
    </w:rPr>
  </w:style>
  <w:style w:type="paragraph" w:styleId="694">
    <w:name w:val="Heading 9"/>
    <w:basedOn w:val="854"/>
    <w:next w:val="854"/>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6"/>
    <w:link w:val="694"/>
    <w:uiPriority w:val="9"/>
    <w:rPr>
      <w:rFonts w:ascii="Arial" w:hAnsi="Arial" w:eastAsia="Arial" w:cs="Arial"/>
      <w:i/>
      <w:iCs/>
      <w:sz w:val="21"/>
      <w:szCs w:val="21"/>
    </w:rPr>
  </w:style>
  <w:style w:type="paragraph" w:styleId="696">
    <w:name w:val="List Paragraph"/>
    <w:basedOn w:val="854"/>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4"/>
    <w:next w:val="854"/>
    <w:link w:val="699"/>
    <w:uiPriority w:val="10"/>
    <w:qFormat/>
    <w:pPr>
      <w:contextualSpacing/>
      <w:spacing w:before="300" w:after="200"/>
    </w:pPr>
    <w:rPr>
      <w:sz w:val="48"/>
      <w:szCs w:val="48"/>
    </w:rPr>
  </w:style>
  <w:style w:type="character" w:styleId="699">
    <w:name w:val="Title Char"/>
    <w:basedOn w:val="856"/>
    <w:link w:val="698"/>
    <w:uiPriority w:val="10"/>
    <w:rPr>
      <w:sz w:val="48"/>
      <w:szCs w:val="48"/>
    </w:rPr>
  </w:style>
  <w:style w:type="paragraph" w:styleId="700">
    <w:name w:val="Subtitle"/>
    <w:basedOn w:val="854"/>
    <w:next w:val="854"/>
    <w:link w:val="701"/>
    <w:uiPriority w:val="11"/>
    <w:qFormat/>
    <w:pPr>
      <w:spacing w:before="200" w:after="200"/>
    </w:pPr>
    <w:rPr>
      <w:sz w:val="24"/>
      <w:szCs w:val="24"/>
    </w:rPr>
  </w:style>
  <w:style w:type="character" w:styleId="701">
    <w:name w:val="Subtitle Char"/>
    <w:basedOn w:val="856"/>
    <w:link w:val="700"/>
    <w:uiPriority w:val="11"/>
    <w:rPr>
      <w:sz w:val="24"/>
      <w:szCs w:val="24"/>
    </w:rPr>
  </w:style>
  <w:style w:type="paragraph" w:styleId="702">
    <w:name w:val="Quote"/>
    <w:basedOn w:val="854"/>
    <w:next w:val="854"/>
    <w:link w:val="703"/>
    <w:uiPriority w:val="29"/>
    <w:qFormat/>
    <w:pPr>
      <w:ind w:left="720" w:right="720"/>
    </w:pPr>
    <w:rPr>
      <w:i/>
    </w:rPr>
  </w:style>
  <w:style w:type="character" w:styleId="703">
    <w:name w:val="Quote Char"/>
    <w:link w:val="702"/>
    <w:uiPriority w:val="29"/>
    <w:rPr>
      <w:i/>
    </w:rPr>
  </w:style>
  <w:style w:type="paragraph" w:styleId="704">
    <w:name w:val="Intense Quote"/>
    <w:basedOn w:val="854"/>
    <w:next w:val="854"/>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6"/>
    <w:link w:val="864"/>
    <w:uiPriority w:val="99"/>
  </w:style>
  <w:style w:type="character" w:styleId="707">
    <w:name w:val="Footer Char"/>
    <w:basedOn w:val="856"/>
    <w:link w:val="863"/>
    <w:uiPriority w:val="99"/>
  </w:style>
  <w:style w:type="paragraph" w:styleId="708">
    <w:name w:val="Caption"/>
    <w:basedOn w:val="854"/>
    <w:next w:val="854"/>
    <w:uiPriority w:val="35"/>
    <w:semiHidden/>
    <w:unhideWhenUsed/>
    <w:qFormat/>
    <w:pPr>
      <w:spacing w:line="276" w:lineRule="auto"/>
    </w:pPr>
    <w:rPr>
      <w:b/>
      <w:bCs/>
      <w:color w:val="4f81bd" w:themeColor="accent1"/>
      <w:sz w:val="18"/>
      <w:szCs w:val="18"/>
    </w:rPr>
  </w:style>
  <w:style w:type="character" w:styleId="709">
    <w:name w:val="Caption Char"/>
    <w:basedOn w:val="708"/>
    <w:link w:val="863"/>
    <w:uiPriority w:val="99"/>
  </w:style>
  <w:style w:type="table" w:styleId="710">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6"/>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6"/>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2"/>
    <w:basedOn w:val="854"/>
    <w:next w:val="85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customStyle="1">
    <w:name w:val="Default"/>
    <w:basedOn w:val="854"/>
    <w:uiPriority w:val="0"/>
    <w:semiHidden/>
    <w:qFormat/>
    <w:pPr>
      <w:jc w:val="left"/>
    </w:pPr>
    <w:rPr>
      <w:rFonts w:ascii="宋体" w:hAnsi="Calibri" w:cs="宋体"/>
      <w:color w:val="000000"/>
      <w:sz w:val="24"/>
    </w:rPr>
  </w:style>
  <w:style w:type="paragraph" w:styleId="859">
    <w:name w:val="annotation text"/>
    <w:basedOn w:val="854"/>
    <w:uiPriority w:val="0"/>
    <w:qFormat/>
    <w:pPr>
      <w:jc w:val="left"/>
    </w:pPr>
  </w:style>
  <w:style w:type="paragraph" w:styleId="860">
    <w:name w:val="Body Text"/>
    <w:basedOn w:val="854"/>
    <w:uiPriority w:val="0"/>
    <w:qFormat/>
    <w:pPr>
      <w:spacing w:after="120"/>
    </w:pPr>
  </w:style>
  <w:style w:type="paragraph" w:styleId="861">
    <w:name w:val="Body Text Indent"/>
    <w:basedOn w:val="854"/>
    <w:next w:val="862"/>
    <w:uiPriority w:val="0"/>
    <w:qFormat/>
    <w:pPr>
      <w:ind w:firstLine="600"/>
      <w:spacing w:line="360" w:lineRule="auto"/>
    </w:pPr>
    <w:rPr>
      <w:rFonts w:ascii="仿宋_GB2312" w:eastAsia="仿宋_GB2312"/>
      <w:sz w:val="30"/>
    </w:rPr>
  </w:style>
  <w:style w:type="paragraph" w:styleId="862">
    <w:name w:val="envelope return"/>
    <w:basedOn w:val="854"/>
    <w:uiPriority w:val="0"/>
    <w:qFormat/>
    <w:rPr>
      <w:rFonts w:ascii="Arial" w:hAnsi="Arial"/>
    </w:rPr>
  </w:style>
  <w:style w:type="paragraph" w:styleId="863">
    <w:name w:val="Footer"/>
    <w:basedOn w:val="854"/>
    <w:link w:val="867"/>
    <w:uiPriority w:val="0"/>
    <w:qFormat/>
    <w:pPr>
      <w:jc w:val="left"/>
      <w:tabs>
        <w:tab w:val="center" w:pos="4153" w:leader="none"/>
        <w:tab w:val="right" w:pos="8306" w:leader="none"/>
      </w:tabs>
    </w:pPr>
    <w:rPr>
      <w:sz w:val="18"/>
      <w:szCs w:val="18"/>
    </w:rPr>
  </w:style>
  <w:style w:type="paragraph" w:styleId="864">
    <w:name w:val="Header"/>
    <w:basedOn w:val="854"/>
    <w:link w:val="866"/>
    <w:uiPriority w:val="0"/>
    <w:qFormat/>
    <w:pPr>
      <w:jc w:val="center"/>
      <w:tabs>
        <w:tab w:val="center" w:pos="4153" w:leader="none"/>
        <w:tab w:val="right" w:pos="8306" w:leader="none"/>
      </w:tabs>
      <w:pBdr>
        <w:bottom w:val="single" w:color="auto" w:sz="6" w:space="1"/>
      </w:pBdr>
    </w:pPr>
    <w:rPr>
      <w:sz w:val="18"/>
      <w:szCs w:val="18"/>
    </w:rPr>
  </w:style>
  <w:style w:type="paragraph" w:styleId="865">
    <w:name w:val="Normal (Web)"/>
    <w:basedOn w:val="854"/>
    <w:uiPriority w:val="0"/>
    <w:qFormat/>
    <w:pPr>
      <w:jc w:val="left"/>
      <w:spacing w:beforeAutospacing="1" w:afterAutospacing="1"/>
    </w:pPr>
    <w:rPr>
      <w:rFonts w:cs="Times New Roman"/>
      <w:sz w:val="24"/>
    </w:rPr>
  </w:style>
  <w:style w:type="character" w:styleId="866" w:customStyle="1">
    <w:name w:val="页眉 Char"/>
    <w:basedOn w:val="856"/>
    <w:link w:val="864"/>
    <w:uiPriority w:val="0"/>
    <w:qFormat/>
    <w:rPr>
      <w:rFonts w:asciiTheme="minorHAnsi" w:hAnsiTheme="minorHAnsi" w:eastAsiaTheme="minorEastAsia" w:cstheme="minorBidi"/>
      <w:sz w:val="18"/>
      <w:szCs w:val="18"/>
    </w:rPr>
  </w:style>
  <w:style w:type="character" w:styleId="867" w:customStyle="1">
    <w:name w:val="页脚 Char"/>
    <w:basedOn w:val="856"/>
    <w:link w:val="863"/>
    <w:uiPriority w:val="0"/>
    <w:qFormat/>
    <w:rPr>
      <w:rFonts w:asciiTheme="minorHAnsi" w:hAnsiTheme="minorHAnsi" w:eastAsiaTheme="minorEastAsia" w:cstheme="minorBidi"/>
      <w:sz w:val="18"/>
      <w:szCs w:val="18"/>
    </w:rPr>
  </w:style>
  <w:style w:type="paragraph" w:styleId="868" w:customStyle="1">
    <w:name w:val="普通正文"/>
    <w:basedOn w:val="854"/>
    <w:uiPriority w:val="0"/>
    <w:qFormat/>
    <w:pPr>
      <w:ind w:firstLine="480"/>
      <w:jc w:val="left"/>
      <w:spacing w:before="120" w:after="120" w:line="360" w:lineRule="auto"/>
    </w:pPr>
    <w:rPr>
      <w:rFonts w:ascii="Arial" w:hAnsi="Arial" w:eastAsia="等线" w:cs="Arial"/>
      <w:sz w:val="24"/>
      <w:szCs w:val="24"/>
    </w:rPr>
  </w:style>
  <w:style w:type="paragraph" w:styleId="869" w:customStyle="1">
    <w:name w:val="正文首行缩进 21"/>
    <w:basedOn w:val="870"/>
    <w:uiPriority w:val="0"/>
    <w:qFormat/>
    <w:pPr>
      <w:ind w:firstLine="420"/>
    </w:pPr>
  </w:style>
  <w:style w:type="paragraph" w:styleId="870" w:customStyle="1">
    <w:name w:val="正文文本缩进1"/>
    <w:basedOn w:val="854"/>
    <w:uiPriority w:val="0"/>
    <w:qFormat/>
    <w:pPr>
      <w:ind w:left="420"/>
      <w:spacing w:after="120"/>
    </w:pPr>
  </w:style>
  <w:style w:type="paragraph" w:styleId="871" w:customStyle="1">
    <w:name w:val="正文首行缩进1"/>
    <w:basedOn w:val="860"/>
    <w:uiPriority w:val="0"/>
    <w:qFormat/>
    <w:pPr>
      <w:ind w:firstLine="200"/>
      <w:spacing w:line="360" w:lineRule="auto"/>
    </w:pPr>
    <w:rPr>
      <w:rFonts w:ascii="仿宋_GB2312" w:hAnsi="仿宋_GB2312" w:eastAsia="仿宋_GB2312"/>
      <w:sz w:val="30"/>
      <w:szCs w:val="30"/>
    </w:rPr>
  </w:style>
  <w:style w:type="paragraph" w:styleId="872" w:customStyle="1">
    <w:name w:val="小节标题"/>
    <w:basedOn w:val="854"/>
    <w:next w:val="854"/>
    <w:uiPriority w:val="0"/>
    <w:qFormat/>
    <w:pPr>
      <w:spacing w:before="175" w:after="102" w:line="351" w:lineRule="atLeast"/>
      <w:widowControl/>
    </w:pPr>
    <w:rPr>
      <w:rFonts w:eastAsia="黑体"/>
      <w:color w:val="000000"/>
    </w:rPr>
  </w:style>
  <w:style w:type="paragraph" w:styleId="873" w:customStyle="1">
    <w:name w:val="正文1"/>
    <w:next w:val="854"/>
    <w:uiPriority w:val="0"/>
    <w:qFormat/>
    <w:pPr>
      <w:jc w:val="both"/>
    </w:pPr>
    <w:rPr>
      <w:rFonts w:ascii="Times New Roman" w:hAnsi="Times New Roman" w:eastAsia="宋体" w:cs="Times New Roman"/>
      <w:sz w:val="21"/>
      <w:szCs w:val="21"/>
      <w:lang w:val="en-US" w:eastAsia="zh-CN" w:bidi="ar-SA"/>
    </w:rPr>
  </w:style>
  <w:style w:type="numbering" w:styleId="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2aa81ba5-2d09-48bd-b0fd-9724c27486bb</errorID>
      <errorWord>-</errorWord>
      <group>L1_Format</group>
      <groupName>格式问题</groupName>
      <ability>L2_HalfPunc</ability>
      <abilityName>全半角检查</abilityName>
      <candidateList>
        <item>－</item>
      </candidateList>
      <explain>文本全半角错误。</explain>
      <paraID>32A21B87</paraID>
      <start>14</start>
      <end>15</end>
      <status>ignored</status>
      <modifiedWord/>
      <trackRevisions>false</trackRevisions>
    </reviewItem>
    <reviewItem>
      <errorID>d763f061-2b1e-44f2-af67-858e4be751bd</errorID>
      <errorWord>-</errorWord>
      <group>L1_Format</group>
      <groupName>格式问题</groupName>
      <ability>L2_HalfPunc</ability>
      <abilityName>全半角检查</abilityName>
      <candidateList>
        <item>－</item>
      </candidateList>
      <explain>文本全半角错误。</explain>
      <paraID>32A21B87</paraID>
      <start>15</start>
      <end>16</end>
      <status>ignored</status>
      <modifiedWord/>
      <trackRevisions>false</trackRevisions>
    </reviewItem>
    <reviewItem>
      <errorID>6e6eb82c-4e68-4896-979e-eaa342f18ac8</errorID>
      <errorWord>“.</errorWord>
      <group>L1_Punc</group>
      <groupName>标点问题</groupName>
      <ability>L2_Punc</ability>
      <abilityName>标点符号检查</abilityName>
      <candidateList>
        <item>“</item>
      </candidateList>
      <explain/>
      <paraID>32A21B87</paraID>
      <start>57</start>
      <end>59</end>
      <status>ignored</status>
      <modifiedWord/>
      <trackRevisions>false</trackRevisions>
    </reviewItem>
    <reviewItem>
      <errorID>f9c96f5a-ecc9-4345-958f-4928f0d74bed</errorID>
      <errorWord>“.</errorWord>
      <group>L1_Punc</group>
      <groupName>标点问题</groupName>
      <ability>L2_Punc</ability>
      <abilityName>标点符号检查</abilityName>
      <candidateList>
        <item>“</item>
      </candidateList>
      <explain/>
      <paraID>32A21B87</paraID>
      <start>72</start>
      <end>74</end>
      <status>ignored</status>
      <modifiedWord/>
      <trackRevisions>false</trackRevisions>
    </reviewItem>
    <reviewItem>
      <errorID>ef0c7a31-db9d-4f98-8476-abddae22e6db</errorID>
      <errorWord>-</errorWord>
      <group>L1_Format</group>
      <groupName>格式问题</groupName>
      <ability>L2_HalfPunc</ability>
      <abilityName>全半角检查</abilityName>
      <candidateList>
        <item>－</item>
      </candidateList>
      <explain>文本全半角错误。</explain>
      <paraID>32A21B87</paraID>
      <start>95</start>
      <end>96</end>
      <status>ignored</status>
      <modifiedWord/>
      <trackRevisions>false</trackRevisions>
    </reviewItem>
    <reviewItem>
      <errorID>8bf08b3b-b1f2-40e6-a66b-f25d7742764d</errorID>
      <errorWord>-</errorWord>
      <group>L1_Format</group>
      <groupName>格式问题</groupName>
      <ability>L2_HalfPunc</ability>
      <abilityName>全半角检查</abilityName>
      <candidateList>
        <item>－</item>
      </candidateList>
      <explain>文本全半角错误。</explain>
      <paraID>32A21B87</paraID>
      <start>96</start>
      <end>97</end>
      <status>ignored</status>
      <modifiedWord/>
      <trackRevisions>false</trackRevisions>
    </reviewItem>
    <reviewItem>
      <errorID>eedeeb63-28a4-4390-a12a-9114e6a2866b</errorID>
      <errorWord>-</errorWord>
      <group>L1_Format</group>
      <groupName>格式问题</groupName>
      <ability>L2_HalfPunc</ability>
      <abilityName>全半角检查</abilityName>
      <candidateList>
        <item>－</item>
      </candidateList>
      <explain>文本全半角错误。</explain>
      <paraID>32A21B87</paraID>
      <start>103</start>
      <end>104</end>
      <status>ignored</status>
      <modifiedWord/>
      <trackRevisions>false</trackRevisions>
    </reviewItem>
    <reviewItem>
      <errorID>ffdb0598-d36d-42e4-913a-3e65787c434d</errorID>
      <errorWord>-</errorWord>
      <group>L1_Format</group>
      <groupName>格式问题</groupName>
      <ability>L2_HalfPunc</ability>
      <abilityName>全半角检查</abilityName>
      <candidateList>
        <item>－</item>
      </candidateList>
      <explain>文本全半角错误。</explain>
      <paraID>32A21B87</paraID>
      <start>104</start>
      <end>105</end>
      <status>ignored</status>
      <modifiedWord/>
      <trackRevisions>false</trackRevisions>
    </reviewItem>
    <reviewItem>
      <errorID>ed0c1d3f-2072-4e56-859a-d0f12fe4242a</errorID>
      <errorWord>-</errorWord>
      <group>L1_Format</group>
      <groupName>格式问题</groupName>
      <ability>L2_HalfPunc</ability>
      <abilityName>全半角检查</abilityName>
      <candidateList>
        <item>－</item>
      </candidateList>
      <explain>文本全半角错误。</explain>
      <paraID>32A21B87</paraID>
      <start>175</start>
      <end>176</end>
      <status>ignored</status>
      <modifiedWord/>
      <trackRevisions>false</trackRevisions>
    </reviewItem>
    <reviewItem>
      <errorID>678fafba-d60f-4c2a-b83c-992566810a9d</errorID>
      <errorWord>-</errorWord>
      <group>L1_Format</group>
      <groupName>格式问题</groupName>
      <ability>L2_HalfPunc</ability>
      <abilityName>全半角检查</abilityName>
      <candidateList>
        <item>－</item>
      </candidateList>
      <explain>文本全半角错误。</explain>
      <paraID>26A03879</paraID>
      <start>31</start>
      <end>32</end>
      <status>ignored</status>
      <modifiedWord/>
      <trackRevisions>false</trackRevisions>
    </reviewItem>
    <reviewItem>
      <errorID>9e5f4e69-927f-423a-a96b-a0a250b19e30</errorID>
      <errorWord>“.</errorWord>
      <group>L1_Punc</group>
      <groupName>标点问题</groupName>
      <ability>L2_Punc</ability>
      <abilityName>标点符号检查</abilityName>
      <candidateList>
        <item>“</item>
      </candidateList>
      <explain/>
      <paraID>5B5DA349</paraID>
      <start>13</start>
      <end>15</end>
      <status>ignored</status>
      <modifiedWord/>
      <trackRevisions>false</trackRevisions>
    </reviewItem>
    <reviewItem>
      <errorID>f5a8d999-57d7-469f-af95-93a836f86696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modified</status>
      <modifiedWord>1.</modifiedWord>
      <trackRevisions>false</trackRevisions>
    </reviewItem>
    <reviewItem>
      <errorID>223d9c94-0ac5-4a8c-a0a6-23f91b6ebc08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modified</status>
      <modifiedWord>2.</modifiedWord>
      <trackRevisions>false</trackRevisions>
    </reviewItem>
    <reviewItem>
      <errorID>b4cf9de3-8d07-487f-b250-f52a63e6f714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6570DAF5</paraID>
      <start>0</start>
      <end>2</end>
      <status>modified</status>
      <modifiedWord>3.</modifiedWord>
      <trackRevisions>false</trackRevisions>
    </reviewItem>
    <reviewItem>
      <errorID>3be9212f-575e-4955-8707-40d81842368b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modified</status>
      <modifiedWord>4.</modifiedWord>
      <trackRevisions>false</trackRevisions>
    </reviewItem>
    <reviewItem>
      <errorID>c0655954-b4a7-4cf4-9c24-bd9d224f9c8a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modified</status>
      <modifiedWord>5.</modifiedWord>
      <trackRevisions>false</trackRevisions>
    </reviewItem>
    <reviewItem>
      <errorID>b355428c-633c-4780-b5e2-eef2a4df37ea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modified</status>
      <modifiedWord>6.</modifiedWord>
      <trackRevisions>false</trackRevisions>
    </reviewItem>
    <reviewItem>
      <errorID>c3cab9e5-4ccc-4ea7-ba9a-ddd1dd697f63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modified</status>
      <modifiedWord>7.</modifiedWord>
      <trackRevisions>false</trackRevisions>
    </reviewItem>
    <reviewItem>
      <errorID>4ce54b4a-08ad-4aa4-b727-44678c1f6a51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modified</status>
      <modifiedWord>8.</modifiedWord>
      <trackRevisions>false</trackRevisions>
    </reviewItem>
    <reviewItem>
      <errorID>cc06f47f-781a-45e3-be34-91f17e2db9c6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modified</status>
      <modifiedWord>9.</modifiedWord>
      <trackRevisions>false</trackRevisions>
    </reviewItem>
    <reviewItem>
      <errorID>5ffa9e8e-83ab-4152-ac17-1fd8c4a8a2e2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modified</status>
      <modifiedWord>10.</modifiedWord>
      <trackRevisions>false</trackRevisions>
    </reviewItem>
    <reviewItem>
      <errorID>1e063a95-b6d4-43d7-be30-ed5697aa09d8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modified</status>
      <modifiedWord>11.</modifiedWord>
      <trackRevisions>false</trackRevisions>
    </reviewItem>
    <reviewItem>
      <errorID>d5644729-814e-4947-a514-81f4d2c30f9f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modified</status>
      <modifiedWord>12.</modifiedWord>
      <trackRevisions>false</trackRevisions>
    </reviewItem>
    <reviewItem>
      <errorID>18120fdb-12ab-4088-b968-5b0dd0299a2c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modified</status>
      <modifiedWord>13.</modifiedWord>
      <trackRevisions>false</trackRevisions>
    </reviewItem>
    <reviewItem>
      <errorID>0dccbe21-c1dc-4080-9d4c-91641791c9ad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modified</status>
      <modifiedWord>14.</modifiedWord>
      <trackRevisions>false</trackRevisions>
    </reviewItem>
    <reviewItem>
      <errorID>919250c6-624a-41ef-92d3-d9311cb47242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modified</status>
      <modifiedWord>15.</modifiedWord>
      <trackRevisions>false</trackRevisions>
    </reviewItem>
    <reviewItem>
      <errorID>a9569b7e-4f34-4717-a95c-67d958cee9d0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modified</status>
      <modifiedWord>16.</modifiedWord>
      <trackRevisions>false</trackRevisions>
    </reviewItem>
    <reviewItem>
      <errorID>2c1f29b2-74bc-4d7e-be9f-3bc7c2ee61ef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modified</status>
      <modifiedWord>17.</modifiedWord>
      <trackRevisions>false</trackRevisions>
    </reviewItem>
    <reviewItem>
      <errorID>a257eddb-c126-40d7-973f-5e8332513fe7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modified</status>
      <modifiedWord>18.</modifiedWord>
      <trackRevisions>false</trackRevisions>
    </reviewItem>
    <reviewItem>
      <errorID>f7d86898-76e5-4352-b446-0b3dae1f78a0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modified</status>
      <modifiedWord>19.</modifiedWord>
      <trackRevisions>false</trackRevisions>
    </reviewItem>
    <reviewItem>
      <errorID>0cff1f13-3df4-4a58-8854-8a0d7bfe7582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modified</status>
      <modifiedWord>20.</modifiedWord>
      <trackRevisions>false</trackRevisions>
    </reviewItem>
    <reviewItem>
      <errorID>4f15c12a-31a9-48eb-a0ea-d643220f16ad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modified</status>
      <modifiedWord>21.</modifiedWord>
      <trackRevisions>false</trackRevisions>
    </reviewItem>
    <reviewItem>
      <errorID>bb51093e-e6d7-43a6-82ed-b1a9bab89aaf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modified</status>
      <modifiedWord>22.</modifiedWord>
      <trackRevisions>false</trackRevisions>
    </reviewItem>
    <reviewItem>
      <errorID>8f7e3f30-58a3-4621-8710-4c12f2cd4156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modified</status>
      <modifiedWord>23.</modifiedWord>
      <trackRevisions>false</trackRevisions>
    </reviewItem>
    <reviewItem>
      <errorID>18ab02c0-4eff-4149-a545-ce7d04461a4b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modified</status>
      <modifiedWord>24.</modifiedWord>
      <trackRevisions>false</trackRevisions>
    </reviewItem>
    <reviewItem>
      <errorID>f9644f57-8929-4216-ae94-2060288b43c4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modified</status>
      <modifiedWord>25.</modifiedWord>
      <trackRevisions>false</trackRevisions>
    </reviewItem>
    <reviewItem>
      <errorID>7db421d3-1ff5-43c4-88d4-c37229db150b</errorID>
      <errorWord>不</errorWord>
      <group>L1_Word</group>
      <groupName>字词问题</groupName>
      <ability>L2_Typo</ability>
      <abilityName>字词错误</abilityName>
      <candidateList>
        <item>不符</item>
      </candidateList>
      <explain/>
      <paraID>377D1C32</paraID>
      <start>46</start>
      <end>48</end>
      <status>modified</status>
      <modifiedWord>不符</modifiedWord>
      <trackRevisions>false</trackRevisions>
    </reviewItem>
    <reviewItem>
      <errorID>5eee74c6-a710-4dc8-8f6b-ee5cd065700a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modified</status>
      <modifiedWord>26.</modifiedWord>
      <trackRevisions>false</trackRevisions>
    </reviewItem>
    <reviewItem>
      <errorID>524d38e5-7557-4393-98fe-85ece136f78b</errorID>
      <errorWord>属</errorWord>
      <group>L1_Word</group>
      <groupName>字词问题</groupName>
      <ability>L2_Typo</ability>
      <abilityName>字词错误</abilityName>
      <candidateList>
        <item>属于</item>
      </candidateList>
      <explain/>
      <paraID>742E7BA7</paraID>
      <start>22</start>
      <end>24</end>
      <status>modified</status>
      <modifiedWord>属于</modifiedWord>
      <trackRevisions>false</trackRevisions>
    </reviewItem>
    <reviewItem>
      <errorID>82588cac-26f6-4671-84f5-499524b361cd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modified</status>
      <modifiedWord>27.</modifiedWord>
      <trackRevisions>false</trackRevisions>
    </reviewItem>
    <reviewItem>
      <errorID>1d14b2e0-45cc-4471-a611-e7464e40bb61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modified</status>
      <modifiedWord>28.</modifiedWord>
      <trackRevisions>false</trackRevisions>
    </reviewItem>
    <reviewItem>
      <errorID>4f43d11f-ee0c-443b-a74f-22dfa3902e85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modified</status>
      <modifiedWord>29.</modifiedWord>
      <trackRevisions>false</trackRevisions>
    </reviewItem>
    <reviewItem>
      <errorID>b08ce119-af45-4a9f-8371-d1b403c7ac2a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modified</status>
      <modifiedWord>31.</modifiedWord>
      <trackRevisions>false</trackRevisions>
    </reviewItem>
    <reviewItem>
      <errorID>ad1ae921-2832-4d75-b9cb-450057b806ee</errorID>
      <errorWord>&lt;</errorWord>
      <group>L1_Format</group>
      <groupName>格式问题</groupName>
      <ability>L2_HalfPunc</ability>
      <abilityName>全半角检查</abilityName>
      <candidateList>
        <item>〈</item>
      </candidateList>
      <explain>文本全半角错误。</explain>
      <paraID>7831DEFD</paraID>
      <start>22</start>
      <end>23</end>
      <status>ignored</status>
      <modifiedWord/>
      <trackRevisions>false</trackRevisions>
    </reviewItem>
    <reviewItem>
      <errorID>2fd76d30-f65d-4530-905f-17d9c22d6984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166</start>
      <end>168</end>
      <status>modified</status>
      <modifiedWord>系统</modifiedWord>
      <trackRevisions>false</trackRevisions>
    </reviewItem>
    <reviewItem>
      <errorID>e0750564-15e8-41c8-bd08-aab2a79dee7f</errorID>
      <errorWord>《</errorWord>
      <group>L1_Punc</group>
      <groupName>标点问题</groupName>
      <ability>L2_Punc</ability>
      <abilityName>标点符号检查</abilityName>
      <candidateList/>
      <explain>同一形式括号套用。</explain>
      <paraID>3C828DB7</paraID>
      <start>33</start>
      <end>34</end>
      <status>ignored</status>
      <modifiedWord/>
      <trackRevisions>false</trackRevisions>
    </reviewItem>
    <reviewItem>
      <errorID>cb8e23de-28c0-45d5-94f0-67408083d797</errorID>
      <errorWord>》</errorWord>
      <group>L1_Punc</group>
      <groupName>标点问题</groupName>
      <ability>L2_Punc</ability>
      <abilityName>标点符号检查</abilityName>
      <candidateList/>
      <explain>同一形式括号套用。</explain>
      <paraID>3C828DB7</paraID>
      <start>50</start>
      <end>51</end>
      <status>ignored</status>
      <modifiedWord/>
      <trackRevisions>false</trackRevisions>
    </reviewItem>
    <reviewItem>
      <errorID>f06d76b3-fdb4-4980-aea4-3d0f9d93fd57</errorID>
      <errorWord>《</errorWord>
      <group>L1_Punc</group>
      <groupName>标点问题</groupName>
      <ability>L2_Punc</ability>
      <abilityName>标点符号检查</abilityName>
      <candidateList/>
      <explain>同一形式括号套用。</explain>
      <paraID>3C828DB7</paraID>
      <start>51</start>
      <end>52</end>
      <status>ignored</status>
      <modifiedWord/>
      <trackRevisions>false</trackRevisions>
    </reviewItem>
    <reviewItem>
      <errorID>9d0f2aec-34d0-4a66-a602-26b0b3dcf5dc</errorID>
      <errorWord>》</errorWord>
      <group>L1_Punc</group>
      <groupName>标点问题</groupName>
      <ability>L2_Punc</ability>
      <abilityName>标点符号检查</abilityName>
      <candidateList/>
      <explain>同一形式括号套用。</explain>
      <paraID>3C828DB7</paraID>
      <start>68</start>
      <end>69</end>
      <status>ignored</status>
      <modifiedWord/>
      <trackRevisions>false</trackRevisions>
    </reviewItem>
    <reviewItem>
      <errorID>a2527ee8-8d10-4a2e-9f62-414b23b0eb87</errorID>
      <errorWord>与</errorWord>
      <group>L1_Word</group>
      <groupName>字词问题</groupName>
      <ability>L2_Typo</ability>
      <abilityName>字词错误</abilityName>
      <candidateList>
        <item>予</item>
      </candidateList>
      <explain>存在发音相同字词的误用。</explain>
      <paraID>43DD891C</paraID>
      <start>34</start>
      <end>35</end>
      <status>modified</status>
      <modifiedWord>予</modifiedWord>
      <trackRevisions>false</trackRevisions>
    </reviewItem>
    <reviewItem>
      <errorID>282b4ddf-6912-4b2c-81d4-e2e3f336e600</errorID>
      <errorWord>》</errorWord>
      <group>L1_Word</group>
      <groupName>字词问题</groupName>
      <ability>L2_Typo</ability>
      <abilityName>字词错误</abilityName>
      <candidateList>
        <item>》等</item>
      </candidateList>
      <explain/>
      <paraID> B680B96</paraID>
      <start>39</start>
      <end>41</end>
      <status>modified</status>
      <modifiedWord>》等</modifiedWord>
      <trackRevisions>false</trackRevisions>
    </reviewItem>
    <reviewItem>
      <errorID>33f3cf21-69be-4945-b210-3c6fd2d9ad03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modified</status>
      <modifiedWord>1.</modifiedWord>
      <trackRevisions>false</trackRevisions>
    </reviewItem>
    <reviewItem>
      <errorID>e60e7fa6-a94e-4e6d-a110-25f4c41f3010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modified</status>
      <modifiedWord>2.</modifiedWord>
      <trackRevisions>false</trackRevisions>
    </reviewItem>
    <reviewItem>
      <errorID>c3b9f302-234b-4214-b292-35a2fa6c47de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modified</status>
      <modifiedWord>3.</modifiedWord>
      <trackRevisions>false</trackRevisions>
    </reviewItem>
    <reviewItem>
      <errorID>8da08272-ae17-4cbf-82cc-7f459b98e481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modified</status>
      <modifiedWord>4.</modifiedWord>
      <trackRevisions>false</trackRevisions>
    </reviewItem>
    <reviewItem>
      <errorID>81805e76-14ed-499c-9e93-3b3078fcb5d8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modified</status>
      <modifiedWord>5.</modifiedWord>
      <trackRevisions>false</trackRevisions>
    </reviewItem>
    <reviewItem>
      <errorID>39f00542-2819-4561-9498-fe30875c3e06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modified</status>
      <modifiedWord>6.</modifiedWord>
      <trackRevisions>false</trackRevisions>
    </reviewItem>
    <reviewItem>
      <errorID>12063abd-0bb4-4815-ac24-4b0c83ab233a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modified</status>
      <modifiedWord>7.</modifiedWord>
      <trackRevisions>false</trackRevisions>
    </reviewItem>
    <reviewItem>
      <errorID>e6977009-9ba8-49fc-a265-21e9ce95d477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571361A0</paraID>
      <start>0</start>
      <end>2</end>
      <status>modified</status>
      <modifiedWord>2.</modifiedWord>
      <trackRevisions>false</trackRevisions>
    </reviewItem>
    <reviewItem>
      <errorID>ce041ef5-e74a-4b59-8d5a-4e4b8de3968d</errorID>
      <errorWord>所有</errorWord>
      <group>L1_Word</group>
      <groupName>字词问题</groupName>
      <ability>L2_Typo</ability>
      <abilityName>字词错误</abilityName>
      <candidateList>
        <item>所</item>
      </candidateList>
      <explain/>
      <paraID>571361A0</paraID>
      <start>2</start>
      <end>4</end>
      <status>ignored</status>
      <modifiedWord/>
      <trackRevisions>false</trackRevisions>
    </reviewItem>
    <reviewItem>
      <errorID>217fc4ab-158e-4a9f-8d02-a20f6038f654</errorID>
      <errorWord>予以</errorWord>
      <group>L1_Word</group>
      <groupName>字词问题</groupName>
      <ability>L2_Typo</ability>
      <abilityName>字词错误</abilityName>
      <candidateList>
        <item>予</item>
      </candidateList>
      <explain/>
      <paraID>571361A0</paraID>
      <start>49</start>
      <end>50</end>
      <status>modified</status>
      <modifiedWord>予</modifiedWord>
      <trackRevisions>false</trackRevisions>
    </reviewItem>
    <reviewItem>
      <errorID>2cb00279-5ef7-43ce-9f48-90629149e1ba</errorID>
      <errorWord>间</errorWord>
      <group>L1_Word</group>
      <groupName>字词问题</groupName>
      <ability>L2_Typo</ability>
      <abilityName>字词错误</abilityName>
      <candidateList>
        <item>间内</item>
      </candidateList>
      <explain/>
      <paraID>1F9BB1C3</paraID>
      <start>47</start>
      <end>49</end>
      <status>modified</status>
      <modifiedWord>间内</modifiedWord>
      <trackRevisions>false</trackRevisions>
    </reviewItem>
    <reviewItem>
      <errorID>3214754a-70fe-443f-b37b-f65a15b582b3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modified</status>
      <modifiedWord>2.</modifiedWord>
      <trackRevisions>false</trackRevisions>
    </reviewItem>
    <reviewItem>
      <errorID>0efcd611-da22-4777-8228-2a239cbb5e4b</errorID>
      <errorWord>部份</errorWord>
      <group>L1_Word</group>
      <groupName>字词问题</groupName>
      <ability>L2_Typo</ability>
      <abilityName>字词错误</abilityName>
      <candidateList>
        <item>部分</item>
      </candidateList>
      <explain>存在发音相同字词的误用。</explain>
      <paraID>3DED7F2F</paraID>
      <start>106</start>
      <end>108</end>
      <status>ignored</status>
      <modifiedWord/>
      <trackRevisions>false</trackRevisions>
    </reviewItem>
    <reviewItem>
      <errorID>4aae1cd7-d545-4183-a5cb-035d93a5bbfc</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236FDA7-40F8-48D0-921A-5BE8EC6F54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274</cp:revision>
  <dcterms:created xsi:type="dcterms:W3CDTF">2014-10-29T12:08:00Z</dcterms:created>
  <dcterms:modified xsi:type="dcterms:W3CDTF">2026-05-11T07:43:43Z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B36BF30ECCB34324A2403A93BA9177F0_13</vt:lpwstr>
  </property>
  <property fmtid="{D5CDD505-2E9C-101B-9397-08002B2CF9AE}" pid="4" name="KSOTemplateDocerSaveRecord">
    <vt:lpwstr>eyJoZGlkIjoiYjA5ZGM2ZWEzZTFmMTNmZjQ5MzY5NzkxNDYyYzFhMTYiLCJ1c2VySWQiOiIxMzA2NDU5MDMyIn0=</vt:lpwstr>
  </property>
</Properties>
</file>